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38" w:rsidRDefault="00551D5C" w:rsidP="006476CE">
      <w:pPr>
        <w:pStyle w:val="TtulodoResumo"/>
        <w:rPr>
          <w:rFonts w:ascii="Arial" w:hAnsi="Arial"/>
          <w:sz w:val="22"/>
          <w:szCs w:val="22"/>
          <w:lang w:val="es-AR"/>
        </w:rPr>
      </w:pPr>
      <w:r>
        <w:rPr>
          <w:rFonts w:ascii="Arial" w:hAnsi="Arial"/>
          <w:sz w:val="22"/>
          <w:szCs w:val="22"/>
          <w:lang w:val="es-AR"/>
        </w:rPr>
        <w:t>Selenio total y especiació</w:t>
      </w:r>
      <w:r w:rsidR="00E820E0">
        <w:rPr>
          <w:rFonts w:ascii="Arial" w:hAnsi="Arial"/>
          <w:sz w:val="22"/>
          <w:szCs w:val="22"/>
          <w:lang w:val="es-AR"/>
        </w:rPr>
        <w:t>n</w:t>
      </w:r>
      <w:r w:rsidR="008A2B38" w:rsidRPr="008A2B38">
        <w:rPr>
          <w:rFonts w:ascii="Arial" w:hAnsi="Arial"/>
          <w:sz w:val="22"/>
          <w:szCs w:val="22"/>
          <w:lang w:val="es-AR"/>
        </w:rPr>
        <w:t xml:space="preserve"> de selenio en suelos de la provincia de Santa Fe, Argentina. </w:t>
      </w:r>
    </w:p>
    <w:p w:rsidR="008A2B38" w:rsidRPr="00E820E0" w:rsidRDefault="008A2B38" w:rsidP="006476CE">
      <w:pPr>
        <w:pStyle w:val="TtulodoResumo"/>
        <w:rPr>
          <w:rFonts w:ascii="Arial" w:hAnsi="Arial"/>
          <w:b w:val="0"/>
          <w:sz w:val="20"/>
          <w:szCs w:val="22"/>
          <w:vertAlign w:val="superscript"/>
          <w:lang w:val="es-AR"/>
        </w:rPr>
      </w:pPr>
      <w:r w:rsidRPr="00E820E0">
        <w:rPr>
          <w:rFonts w:ascii="Arial" w:hAnsi="Arial"/>
          <w:b w:val="0"/>
          <w:sz w:val="20"/>
          <w:szCs w:val="22"/>
          <w:lang w:val="es-AR"/>
        </w:rPr>
        <w:t>Autores: Lucila Brusa</w:t>
      </w:r>
      <w:r w:rsidRPr="00E820E0">
        <w:rPr>
          <w:rFonts w:ascii="Arial" w:hAnsi="Arial"/>
          <w:b w:val="0"/>
          <w:sz w:val="20"/>
          <w:szCs w:val="22"/>
          <w:vertAlign w:val="superscript"/>
          <w:lang w:val="es-AR"/>
        </w:rPr>
        <w:t>1</w:t>
      </w:r>
      <w:r w:rsidRPr="00E820E0">
        <w:rPr>
          <w:rFonts w:ascii="Arial" w:hAnsi="Arial"/>
          <w:b w:val="0"/>
          <w:sz w:val="20"/>
          <w:szCs w:val="22"/>
          <w:lang w:val="es-AR"/>
        </w:rPr>
        <w:t>, Horacio Beldoménico</w:t>
      </w:r>
      <w:r w:rsidRPr="00E820E0">
        <w:rPr>
          <w:rFonts w:ascii="Arial" w:hAnsi="Arial"/>
          <w:b w:val="0"/>
          <w:sz w:val="20"/>
          <w:szCs w:val="22"/>
          <w:vertAlign w:val="superscript"/>
          <w:lang w:val="es-AR"/>
        </w:rPr>
        <w:t>1</w:t>
      </w:r>
      <w:r w:rsidRPr="00E820E0">
        <w:rPr>
          <w:rFonts w:ascii="Arial" w:hAnsi="Arial"/>
          <w:b w:val="0"/>
          <w:sz w:val="20"/>
          <w:szCs w:val="22"/>
          <w:lang w:val="es-AR"/>
        </w:rPr>
        <w:t xml:space="preserve">, </w:t>
      </w:r>
      <w:proofErr w:type="spellStart"/>
      <w:r w:rsidRPr="00E820E0">
        <w:rPr>
          <w:rFonts w:ascii="Arial" w:hAnsi="Arial"/>
          <w:b w:val="0"/>
          <w:sz w:val="20"/>
          <w:szCs w:val="22"/>
          <w:lang w:val="es-AR"/>
        </w:rPr>
        <w:t>Jonatan</w:t>
      </w:r>
      <w:proofErr w:type="spellEnd"/>
      <w:r w:rsidRPr="00E820E0">
        <w:rPr>
          <w:rFonts w:ascii="Arial" w:hAnsi="Arial"/>
          <w:b w:val="0"/>
          <w:sz w:val="20"/>
          <w:szCs w:val="22"/>
          <w:lang w:val="es-AR"/>
        </w:rPr>
        <w:t xml:space="preserve"> Schlotthauer</w:t>
      </w:r>
      <w:r w:rsidRPr="00E820E0">
        <w:rPr>
          <w:rFonts w:ascii="Arial" w:hAnsi="Arial"/>
          <w:b w:val="0"/>
          <w:sz w:val="20"/>
          <w:szCs w:val="22"/>
          <w:vertAlign w:val="superscript"/>
          <w:lang w:val="es-AR"/>
        </w:rPr>
        <w:t>1</w:t>
      </w:r>
      <w:r w:rsidRPr="00E820E0">
        <w:rPr>
          <w:rFonts w:ascii="Arial" w:hAnsi="Arial"/>
          <w:b w:val="0"/>
          <w:sz w:val="20"/>
          <w:szCs w:val="22"/>
          <w:lang w:val="es-AR"/>
        </w:rPr>
        <w:t>, Mabel Tudino</w:t>
      </w:r>
      <w:r w:rsidRPr="00E820E0">
        <w:rPr>
          <w:rFonts w:ascii="Arial" w:hAnsi="Arial"/>
          <w:b w:val="0"/>
          <w:sz w:val="20"/>
          <w:szCs w:val="22"/>
          <w:vertAlign w:val="superscript"/>
          <w:lang w:val="es-AR"/>
        </w:rPr>
        <w:t>2</w:t>
      </w:r>
      <w:r w:rsidRPr="00E820E0">
        <w:rPr>
          <w:rFonts w:ascii="Arial" w:hAnsi="Arial"/>
          <w:b w:val="0"/>
          <w:sz w:val="20"/>
          <w:szCs w:val="22"/>
          <w:lang w:val="es-AR"/>
        </w:rPr>
        <w:t>, Mirna Sigrist</w:t>
      </w:r>
      <w:r w:rsidRPr="00E820E0">
        <w:rPr>
          <w:rFonts w:ascii="Arial" w:hAnsi="Arial"/>
          <w:b w:val="0"/>
          <w:sz w:val="20"/>
          <w:szCs w:val="22"/>
          <w:vertAlign w:val="superscript"/>
          <w:lang w:val="es-AR"/>
        </w:rPr>
        <w:t>1</w:t>
      </w:r>
    </w:p>
    <w:p w:rsidR="006476CE" w:rsidRPr="00551D5C" w:rsidRDefault="006476CE" w:rsidP="006476CE">
      <w:pPr>
        <w:pStyle w:val="Endereo"/>
        <w:jc w:val="left"/>
        <w:rPr>
          <w:rFonts w:ascii="Arial" w:hAnsi="Arial" w:cs="Arial"/>
          <w:lang w:val="es-AR"/>
        </w:rPr>
      </w:pPr>
      <w:r w:rsidRPr="00551D5C">
        <w:rPr>
          <w:rFonts w:ascii="Arial" w:hAnsi="Arial" w:cs="Arial"/>
          <w:vertAlign w:val="superscript"/>
          <w:lang w:val="es-AR"/>
        </w:rPr>
        <w:t>1</w:t>
      </w:r>
      <w:r w:rsidR="00551D5C" w:rsidRPr="00551D5C">
        <w:rPr>
          <w:rFonts w:ascii="Arial" w:hAnsi="Arial" w:cs="Arial"/>
          <w:lang w:val="es-AR"/>
        </w:rPr>
        <w:t xml:space="preserve"> Programa de Investigación y Análisis de Residuos y Contaminantes Químicos</w:t>
      </w:r>
      <w:r w:rsidR="00551D5C">
        <w:rPr>
          <w:rFonts w:ascii="Arial" w:hAnsi="Arial" w:cs="Arial"/>
          <w:lang w:val="es-AR"/>
        </w:rPr>
        <w:t>,</w:t>
      </w:r>
      <w:r w:rsidRPr="00551D5C">
        <w:rPr>
          <w:rFonts w:ascii="Arial" w:hAnsi="Arial" w:cs="Arial"/>
          <w:lang w:val="es-AR"/>
        </w:rPr>
        <w:t xml:space="preserve"> </w:t>
      </w:r>
      <w:r w:rsidR="00551D5C" w:rsidRPr="00551D5C">
        <w:rPr>
          <w:rFonts w:ascii="Arial" w:hAnsi="Arial" w:cs="Arial"/>
          <w:lang w:val="es-AR"/>
        </w:rPr>
        <w:t>F</w:t>
      </w:r>
      <w:r w:rsidR="00551D5C">
        <w:rPr>
          <w:rFonts w:ascii="Arial" w:hAnsi="Arial" w:cs="Arial"/>
          <w:lang w:val="es-AR"/>
        </w:rPr>
        <w:t>acultad de Ingeniería Química, Universidad Nacional del Litoral, Santa Fe Argentina</w:t>
      </w:r>
    </w:p>
    <w:p w:rsidR="006476CE" w:rsidRPr="00551D5C" w:rsidRDefault="006476CE" w:rsidP="00551D5C">
      <w:pPr>
        <w:pStyle w:val="Endereo"/>
        <w:rPr>
          <w:rFonts w:ascii="Arial" w:hAnsi="Arial" w:cs="Arial"/>
          <w:lang w:val="es-AR"/>
        </w:rPr>
      </w:pPr>
      <w:r w:rsidRPr="00551D5C">
        <w:rPr>
          <w:rFonts w:ascii="Arial" w:hAnsi="Arial" w:cs="Arial"/>
          <w:vertAlign w:val="superscript"/>
          <w:lang w:val="es-AR"/>
        </w:rPr>
        <w:t>2</w:t>
      </w:r>
      <w:r w:rsidRPr="00551D5C">
        <w:rPr>
          <w:rFonts w:ascii="Arial" w:hAnsi="Arial" w:cs="Arial"/>
          <w:lang w:val="es-AR"/>
        </w:rPr>
        <w:t>I</w:t>
      </w:r>
      <w:r w:rsidR="00551D5C">
        <w:rPr>
          <w:rFonts w:ascii="Arial" w:hAnsi="Arial" w:cs="Arial"/>
          <w:lang w:val="es-AR"/>
        </w:rPr>
        <w:t>nstituto de Química Fí</w:t>
      </w:r>
      <w:r w:rsidR="00551D5C" w:rsidRPr="00551D5C">
        <w:rPr>
          <w:rFonts w:ascii="Arial" w:hAnsi="Arial" w:cs="Arial"/>
          <w:lang w:val="es-AR"/>
        </w:rPr>
        <w:t>sica de los</w:t>
      </w:r>
      <w:r w:rsidR="00551D5C">
        <w:rPr>
          <w:rFonts w:ascii="Arial" w:hAnsi="Arial" w:cs="Arial"/>
          <w:lang w:val="es-AR"/>
        </w:rPr>
        <w:t xml:space="preserve"> Materiales, Medio A</w:t>
      </w:r>
      <w:r w:rsidR="00551D5C" w:rsidRPr="00551D5C">
        <w:rPr>
          <w:rFonts w:ascii="Arial" w:hAnsi="Arial" w:cs="Arial"/>
          <w:lang w:val="es-AR"/>
        </w:rPr>
        <w:t>mbiente y</w:t>
      </w:r>
      <w:r w:rsidR="00551D5C">
        <w:rPr>
          <w:rFonts w:ascii="Arial" w:hAnsi="Arial" w:cs="Arial"/>
          <w:lang w:val="es-AR"/>
        </w:rPr>
        <w:t xml:space="preserve"> Energí</w:t>
      </w:r>
      <w:r w:rsidR="00551D5C" w:rsidRPr="00551D5C">
        <w:rPr>
          <w:rFonts w:ascii="Arial" w:hAnsi="Arial" w:cs="Arial"/>
          <w:lang w:val="es-AR"/>
        </w:rPr>
        <w:t>a</w:t>
      </w:r>
      <w:r w:rsidRPr="00551D5C">
        <w:rPr>
          <w:rFonts w:ascii="Arial" w:hAnsi="Arial" w:cs="Arial"/>
          <w:lang w:val="es-AR"/>
        </w:rPr>
        <w:t>, INQUIMAE CONICET, Buenos Aires, Argentina</w:t>
      </w:r>
    </w:p>
    <w:p w:rsidR="006476CE" w:rsidRPr="00E820E0" w:rsidRDefault="006476CE" w:rsidP="006476CE">
      <w:pPr>
        <w:pStyle w:val="Endereo"/>
        <w:jc w:val="left"/>
        <w:rPr>
          <w:rFonts w:ascii="Arial" w:hAnsi="Arial" w:cs="Arial"/>
          <w:i w:val="0"/>
          <w:lang w:val="es-AR"/>
        </w:rPr>
      </w:pPr>
      <w:r w:rsidRPr="00E820E0">
        <w:rPr>
          <w:rFonts w:ascii="Arial" w:hAnsi="Arial" w:cs="Arial"/>
          <w:i w:val="0"/>
          <w:lang w:val="es-AR"/>
        </w:rPr>
        <w:t>l_brusa@yahoo.com.ar</w:t>
      </w:r>
    </w:p>
    <w:p w:rsidR="009F6273" w:rsidRDefault="009F6273" w:rsidP="00551D5C">
      <w:pPr>
        <w:pStyle w:val="Referncias"/>
        <w:numPr>
          <w:ilvl w:val="0"/>
          <w:numId w:val="0"/>
        </w:numPr>
        <w:spacing w:before="0" w:after="0"/>
        <w:rPr>
          <w:rFonts w:ascii="Arial" w:hAnsi="Arial"/>
          <w:sz w:val="20"/>
          <w:szCs w:val="20"/>
          <w:lang w:val="es-AR"/>
        </w:rPr>
      </w:pPr>
      <w:r w:rsidRPr="009F6273">
        <w:rPr>
          <w:rFonts w:ascii="Arial" w:hAnsi="Arial"/>
          <w:sz w:val="20"/>
          <w:szCs w:val="20"/>
          <w:lang w:val="es-AR"/>
        </w:rPr>
        <w:t>La movilidad y la disponibilidad de Se</w:t>
      </w:r>
      <w:r>
        <w:rPr>
          <w:rFonts w:ascii="Arial" w:hAnsi="Arial"/>
          <w:sz w:val="20"/>
          <w:szCs w:val="20"/>
          <w:lang w:val="es-AR"/>
        </w:rPr>
        <w:t>lenio</w:t>
      </w:r>
      <w:r w:rsidRPr="009F6273">
        <w:rPr>
          <w:rFonts w:ascii="Arial" w:hAnsi="Arial"/>
          <w:sz w:val="20"/>
          <w:szCs w:val="20"/>
          <w:lang w:val="es-AR"/>
        </w:rPr>
        <w:t xml:space="preserve"> en los suelos dependen principalmente de las especies químicas del elemento y su interacción con ciertos factores fisicoquímicos. Los niveles de selenio en productos agroalimentarios varían de acuerdo con su riqueza en suelos y su disponibilidad. En el presente trabajo, el análisis de especiación de selenio se realizó en suelos de uso agrícola de la provincia de Santa Fe, Argentina.</w:t>
      </w:r>
    </w:p>
    <w:p w:rsidR="009F6273" w:rsidRPr="009F6273" w:rsidRDefault="009F6273" w:rsidP="00551D5C">
      <w:pPr>
        <w:pStyle w:val="Referncias"/>
        <w:numPr>
          <w:ilvl w:val="0"/>
          <w:numId w:val="0"/>
        </w:numPr>
        <w:spacing w:before="0" w:after="0"/>
        <w:rPr>
          <w:rFonts w:ascii="Arial" w:hAnsi="Arial"/>
          <w:sz w:val="20"/>
          <w:szCs w:val="20"/>
          <w:lang w:val="es-AR"/>
        </w:rPr>
      </w:pPr>
    </w:p>
    <w:p w:rsidR="009F6273" w:rsidRDefault="009F6273" w:rsidP="00551D5C">
      <w:pPr>
        <w:pStyle w:val="Referncias"/>
        <w:numPr>
          <w:ilvl w:val="0"/>
          <w:numId w:val="0"/>
        </w:numPr>
        <w:spacing w:before="0" w:after="0"/>
        <w:rPr>
          <w:rFonts w:ascii="Arial" w:hAnsi="Arial"/>
          <w:sz w:val="20"/>
          <w:szCs w:val="20"/>
          <w:lang w:val="es-AR"/>
        </w:rPr>
      </w:pPr>
      <w:r w:rsidRPr="009F6273">
        <w:rPr>
          <w:rFonts w:ascii="Arial" w:hAnsi="Arial"/>
          <w:sz w:val="20"/>
          <w:szCs w:val="20"/>
          <w:lang w:val="es-AR"/>
        </w:rPr>
        <w:t xml:space="preserve">Las muestras </w:t>
      </w:r>
      <w:r>
        <w:rPr>
          <w:rFonts w:ascii="Arial" w:hAnsi="Arial"/>
          <w:sz w:val="20"/>
          <w:szCs w:val="20"/>
          <w:lang w:val="es-AR"/>
        </w:rPr>
        <w:t>fueron tomadas</w:t>
      </w:r>
      <w:r w:rsidRPr="009F6273">
        <w:rPr>
          <w:rFonts w:ascii="Arial" w:hAnsi="Arial"/>
          <w:sz w:val="20"/>
          <w:szCs w:val="20"/>
          <w:lang w:val="es-AR"/>
        </w:rPr>
        <w:t xml:space="preserve"> en campo a aproximadamente 20 cm de profundidad</w:t>
      </w:r>
      <w:r>
        <w:rPr>
          <w:rFonts w:ascii="Arial" w:hAnsi="Arial"/>
          <w:sz w:val="20"/>
          <w:szCs w:val="20"/>
          <w:lang w:val="es-AR"/>
        </w:rPr>
        <w:t>,</w:t>
      </w:r>
      <w:r w:rsidRPr="009F6273">
        <w:rPr>
          <w:rFonts w:ascii="Arial" w:hAnsi="Arial"/>
          <w:sz w:val="20"/>
          <w:szCs w:val="20"/>
          <w:lang w:val="es-AR"/>
        </w:rPr>
        <w:t xml:space="preserve"> se secaron al aire, se molieron</w:t>
      </w:r>
      <w:r>
        <w:rPr>
          <w:rFonts w:ascii="Arial" w:hAnsi="Arial"/>
          <w:sz w:val="20"/>
          <w:szCs w:val="20"/>
          <w:lang w:val="es-AR"/>
        </w:rPr>
        <w:t xml:space="preserve"> y </w:t>
      </w:r>
      <w:r w:rsidRPr="009F6273">
        <w:rPr>
          <w:rFonts w:ascii="Arial" w:hAnsi="Arial"/>
          <w:sz w:val="20"/>
          <w:szCs w:val="20"/>
          <w:lang w:val="es-AR"/>
        </w:rPr>
        <w:t>tamizaron a 20</w:t>
      </w:r>
      <w:r>
        <w:rPr>
          <w:rFonts w:ascii="Arial" w:hAnsi="Arial"/>
          <w:sz w:val="20"/>
          <w:szCs w:val="20"/>
          <w:lang w:val="es-AR"/>
        </w:rPr>
        <w:t>0 micrómetros y se secaron a 40</w:t>
      </w:r>
      <w:r w:rsidRPr="009F6273">
        <w:rPr>
          <w:rFonts w:ascii="Arial" w:hAnsi="Arial"/>
          <w:sz w:val="20"/>
          <w:szCs w:val="20"/>
          <w:lang w:val="es-AR"/>
        </w:rPr>
        <w:t>°</w:t>
      </w:r>
      <w:r>
        <w:rPr>
          <w:rFonts w:ascii="Arial" w:hAnsi="Arial"/>
          <w:sz w:val="20"/>
          <w:szCs w:val="20"/>
          <w:lang w:val="es-AR"/>
        </w:rPr>
        <w:t>C. La determinación de Se para cada etapa del análisis se especiación se llevó a cabo en</w:t>
      </w:r>
      <w:r w:rsidRPr="009F6273">
        <w:rPr>
          <w:rFonts w:ascii="Arial" w:hAnsi="Arial"/>
          <w:sz w:val="20"/>
          <w:szCs w:val="20"/>
          <w:lang w:val="es-AR"/>
        </w:rPr>
        <w:t xml:space="preserve"> </w:t>
      </w:r>
      <w:r w:rsidRPr="009F6273">
        <w:rPr>
          <w:rFonts w:ascii="Arial" w:hAnsi="Arial"/>
          <w:sz w:val="20"/>
          <w:szCs w:val="24"/>
          <w:lang w:val="es-AR"/>
        </w:rPr>
        <w:t>un sistema en línea de espectrometría de absorción atómica con generación de hidruros e inyección en flujo</w:t>
      </w:r>
      <w:r>
        <w:rPr>
          <w:rFonts w:ascii="Arial" w:hAnsi="Arial"/>
          <w:sz w:val="20"/>
          <w:szCs w:val="20"/>
          <w:lang w:val="es-AR"/>
        </w:rPr>
        <w:t xml:space="preserve"> (FI</w:t>
      </w:r>
      <w:r w:rsidRPr="009F6273">
        <w:rPr>
          <w:rFonts w:ascii="Arial" w:hAnsi="Arial"/>
          <w:sz w:val="20"/>
          <w:szCs w:val="20"/>
          <w:lang w:val="es-AR"/>
        </w:rPr>
        <w:t xml:space="preserve">-HGAAS). Para </w:t>
      </w:r>
      <w:r>
        <w:rPr>
          <w:rFonts w:ascii="Arial" w:hAnsi="Arial"/>
          <w:sz w:val="20"/>
          <w:szCs w:val="20"/>
          <w:lang w:val="es-AR"/>
        </w:rPr>
        <w:t xml:space="preserve">la determinación de Se </w:t>
      </w:r>
      <w:r w:rsidRPr="009F6273">
        <w:rPr>
          <w:rFonts w:ascii="Arial" w:hAnsi="Arial"/>
          <w:sz w:val="20"/>
          <w:szCs w:val="20"/>
          <w:lang w:val="es-AR"/>
        </w:rPr>
        <w:t>total, las muestras de suelo se di</w:t>
      </w:r>
      <w:r>
        <w:rPr>
          <w:rFonts w:ascii="Arial" w:hAnsi="Arial"/>
          <w:sz w:val="20"/>
          <w:szCs w:val="20"/>
          <w:lang w:val="es-AR"/>
        </w:rPr>
        <w:t>girieron en agua regia a 90-100</w:t>
      </w:r>
      <w:r w:rsidRPr="009F6273">
        <w:rPr>
          <w:rFonts w:ascii="Arial" w:hAnsi="Arial"/>
          <w:sz w:val="20"/>
          <w:szCs w:val="20"/>
          <w:lang w:val="es-AR"/>
        </w:rPr>
        <w:t xml:space="preserve">ºC. </w:t>
      </w:r>
      <w:r>
        <w:rPr>
          <w:rFonts w:ascii="Arial" w:hAnsi="Arial"/>
          <w:sz w:val="20"/>
          <w:szCs w:val="20"/>
          <w:lang w:val="es-AR"/>
        </w:rPr>
        <w:t>La etapa de pre-reducción de Se</w:t>
      </w:r>
      <w:r w:rsidRPr="009F6273">
        <w:rPr>
          <w:rFonts w:ascii="Arial" w:hAnsi="Arial"/>
          <w:sz w:val="20"/>
          <w:szCs w:val="20"/>
          <w:vertAlign w:val="superscript"/>
          <w:lang w:val="es-AR"/>
        </w:rPr>
        <w:t>+6</w:t>
      </w:r>
      <w:r>
        <w:rPr>
          <w:rFonts w:ascii="Arial" w:hAnsi="Arial"/>
          <w:sz w:val="20"/>
          <w:szCs w:val="20"/>
          <w:lang w:val="es-AR"/>
        </w:rPr>
        <w:t xml:space="preserve"> a Se</w:t>
      </w:r>
      <w:r w:rsidRPr="009F6273">
        <w:rPr>
          <w:rFonts w:ascii="Arial" w:hAnsi="Arial"/>
          <w:sz w:val="20"/>
          <w:szCs w:val="20"/>
          <w:vertAlign w:val="superscript"/>
          <w:lang w:val="es-AR"/>
        </w:rPr>
        <w:t>+4</w:t>
      </w:r>
      <w:r w:rsidRPr="009F6273">
        <w:rPr>
          <w:rFonts w:ascii="Arial" w:hAnsi="Arial"/>
          <w:sz w:val="20"/>
          <w:szCs w:val="20"/>
          <w:lang w:val="es-AR"/>
        </w:rPr>
        <w:t>, que se requiere para</w:t>
      </w:r>
      <w:r>
        <w:rPr>
          <w:rFonts w:ascii="Arial" w:hAnsi="Arial"/>
          <w:sz w:val="20"/>
          <w:szCs w:val="20"/>
          <w:lang w:val="es-AR"/>
        </w:rPr>
        <w:t xml:space="preserve"> la determinación cuantitat</w:t>
      </w:r>
      <w:r w:rsidRPr="009F6273">
        <w:rPr>
          <w:rFonts w:ascii="Arial" w:hAnsi="Arial"/>
          <w:sz w:val="20"/>
          <w:szCs w:val="20"/>
          <w:lang w:val="es-AR"/>
        </w:rPr>
        <w:t xml:space="preserve">iva </w:t>
      </w:r>
      <w:r>
        <w:rPr>
          <w:rFonts w:ascii="Arial" w:hAnsi="Arial"/>
          <w:sz w:val="20"/>
          <w:szCs w:val="20"/>
          <w:lang w:val="es-AR"/>
        </w:rPr>
        <w:t xml:space="preserve">de </w:t>
      </w:r>
      <w:proofErr w:type="spellStart"/>
      <w:r>
        <w:rPr>
          <w:rFonts w:ascii="Arial" w:hAnsi="Arial"/>
          <w:sz w:val="20"/>
          <w:szCs w:val="20"/>
          <w:lang w:val="es-AR"/>
        </w:rPr>
        <w:t>Se</w:t>
      </w:r>
      <w:proofErr w:type="spellEnd"/>
      <w:r>
        <w:rPr>
          <w:rFonts w:ascii="Arial" w:hAnsi="Arial"/>
          <w:sz w:val="20"/>
          <w:szCs w:val="20"/>
          <w:lang w:val="es-AR"/>
        </w:rPr>
        <w:t xml:space="preserve"> </w:t>
      </w:r>
      <w:r w:rsidRPr="009F6273">
        <w:rPr>
          <w:rFonts w:ascii="Arial" w:hAnsi="Arial"/>
          <w:sz w:val="20"/>
          <w:szCs w:val="20"/>
          <w:lang w:val="es-AR"/>
        </w:rPr>
        <w:t>por HGAAS,</w:t>
      </w:r>
      <w:r>
        <w:rPr>
          <w:rFonts w:ascii="Arial" w:hAnsi="Arial"/>
          <w:sz w:val="20"/>
          <w:szCs w:val="20"/>
          <w:lang w:val="es-AR"/>
        </w:rPr>
        <w:t xml:space="preserve"> se llevó a cabo en un medio HCl 6 M en plancha calefactora a 90-100°</w:t>
      </w:r>
      <w:r w:rsidRPr="009F6273">
        <w:rPr>
          <w:rFonts w:ascii="Arial" w:hAnsi="Arial"/>
          <w:sz w:val="20"/>
          <w:szCs w:val="20"/>
          <w:lang w:val="es-AR"/>
        </w:rPr>
        <w:t>C durante 30 minutos</w:t>
      </w:r>
      <w:r>
        <w:rPr>
          <w:rFonts w:ascii="Arial" w:hAnsi="Arial"/>
          <w:sz w:val="20"/>
          <w:szCs w:val="20"/>
          <w:lang w:val="es-AR"/>
        </w:rPr>
        <w:t>,</w:t>
      </w:r>
      <w:r w:rsidRPr="009F6273">
        <w:rPr>
          <w:rFonts w:ascii="Arial" w:hAnsi="Arial"/>
          <w:sz w:val="20"/>
          <w:szCs w:val="20"/>
          <w:lang w:val="es-AR"/>
        </w:rPr>
        <w:t xml:space="preserve"> </w:t>
      </w:r>
      <w:r>
        <w:rPr>
          <w:rFonts w:ascii="Arial" w:hAnsi="Arial"/>
          <w:sz w:val="20"/>
          <w:szCs w:val="20"/>
          <w:lang w:val="es-AR"/>
        </w:rPr>
        <w:t>luego de evaporar las muestras hasta casi sequedad.</w:t>
      </w:r>
      <w:r w:rsidRPr="009F6273">
        <w:rPr>
          <w:rFonts w:ascii="Arial" w:hAnsi="Arial"/>
          <w:sz w:val="20"/>
          <w:szCs w:val="20"/>
          <w:lang w:val="es-AR"/>
        </w:rPr>
        <w:t xml:space="preserve"> Las pruebas de recuperación se realizaron en suelos enriquecidos a niveles de 150 </w:t>
      </w:r>
      <w:r w:rsidRPr="009F6273">
        <w:rPr>
          <w:rFonts w:ascii="Arial" w:hAnsi="Arial"/>
          <w:sz w:val="20"/>
          <w:szCs w:val="20"/>
        </w:rPr>
        <w:t>μ</w:t>
      </w:r>
      <w:r w:rsidRPr="009F6273">
        <w:rPr>
          <w:rFonts w:ascii="Arial" w:hAnsi="Arial"/>
          <w:sz w:val="20"/>
          <w:szCs w:val="20"/>
          <w:lang w:val="es-AR"/>
        </w:rPr>
        <w:t>g kg</w:t>
      </w:r>
      <w:r w:rsidRPr="009F6273">
        <w:rPr>
          <w:rFonts w:ascii="Arial" w:hAnsi="Arial"/>
          <w:sz w:val="20"/>
          <w:szCs w:val="20"/>
          <w:vertAlign w:val="superscript"/>
          <w:lang w:val="es-AR"/>
        </w:rPr>
        <w:t>-1</w:t>
      </w:r>
      <w:r>
        <w:rPr>
          <w:rFonts w:ascii="Arial" w:hAnsi="Arial"/>
          <w:sz w:val="20"/>
          <w:szCs w:val="20"/>
          <w:lang w:val="es-AR"/>
        </w:rPr>
        <w:t xml:space="preserve"> de Se</w:t>
      </w:r>
      <w:r w:rsidRPr="009F6273">
        <w:rPr>
          <w:rFonts w:ascii="Arial" w:hAnsi="Arial"/>
          <w:sz w:val="20"/>
          <w:szCs w:val="20"/>
          <w:vertAlign w:val="superscript"/>
          <w:lang w:val="es-AR"/>
        </w:rPr>
        <w:t>+4</w:t>
      </w:r>
      <w:r w:rsidRPr="009F6273">
        <w:rPr>
          <w:rFonts w:ascii="Arial" w:hAnsi="Arial"/>
          <w:sz w:val="20"/>
          <w:szCs w:val="20"/>
          <w:lang w:val="es-AR"/>
        </w:rPr>
        <w:t xml:space="preserve"> y 150 </w:t>
      </w:r>
      <w:r w:rsidRPr="009F6273">
        <w:rPr>
          <w:rFonts w:ascii="Arial" w:hAnsi="Arial"/>
          <w:sz w:val="20"/>
          <w:szCs w:val="20"/>
        </w:rPr>
        <w:t>μ</w:t>
      </w:r>
      <w:r w:rsidRPr="009F6273">
        <w:rPr>
          <w:rFonts w:ascii="Arial" w:hAnsi="Arial"/>
          <w:sz w:val="20"/>
          <w:szCs w:val="20"/>
          <w:lang w:val="es-AR"/>
        </w:rPr>
        <w:t>g kg</w:t>
      </w:r>
      <w:r w:rsidRPr="009F6273">
        <w:rPr>
          <w:rFonts w:ascii="Arial" w:hAnsi="Arial"/>
          <w:sz w:val="20"/>
          <w:szCs w:val="20"/>
          <w:vertAlign w:val="superscript"/>
          <w:lang w:val="es-AR"/>
        </w:rPr>
        <w:t>-1</w:t>
      </w:r>
      <w:r w:rsidRPr="009F6273">
        <w:rPr>
          <w:rFonts w:ascii="Arial" w:hAnsi="Arial"/>
          <w:sz w:val="20"/>
          <w:szCs w:val="20"/>
          <w:lang w:val="es-AR"/>
        </w:rPr>
        <w:t xml:space="preserve"> de Se</w:t>
      </w:r>
      <w:r w:rsidRPr="009F6273">
        <w:rPr>
          <w:rFonts w:ascii="Arial" w:hAnsi="Arial"/>
          <w:sz w:val="20"/>
          <w:szCs w:val="20"/>
          <w:vertAlign w:val="superscript"/>
          <w:lang w:val="es-AR"/>
        </w:rPr>
        <w:t>+6</w:t>
      </w:r>
      <w:r w:rsidRPr="009F6273">
        <w:rPr>
          <w:rFonts w:ascii="Arial" w:hAnsi="Arial"/>
          <w:sz w:val="20"/>
          <w:szCs w:val="20"/>
          <w:lang w:val="es-AR"/>
        </w:rPr>
        <w:t xml:space="preserve"> y los valores obtenidos oscilaron entre 70-100%. El análisis del material de referencia certificado (CRM NCS DC 73026 </w:t>
      </w:r>
      <w:proofErr w:type="spellStart"/>
      <w:r w:rsidRPr="009F6273">
        <w:rPr>
          <w:rFonts w:ascii="Arial" w:hAnsi="Arial"/>
          <w:sz w:val="20"/>
          <w:szCs w:val="20"/>
          <w:lang w:val="es-AR"/>
        </w:rPr>
        <w:t>Soil</w:t>
      </w:r>
      <w:proofErr w:type="spellEnd"/>
      <w:r w:rsidRPr="009F6273">
        <w:rPr>
          <w:rFonts w:ascii="Arial" w:hAnsi="Arial"/>
          <w:sz w:val="20"/>
          <w:szCs w:val="20"/>
          <w:lang w:val="es-AR"/>
        </w:rPr>
        <w:t xml:space="preserve">) se utilizó para evaluar la precisión del método. No hubo diferencias estadísticamente significativas entre las medias del valor certificado (0,90 ± 0,10 mg kg-1) y el valor encontrado (0,87 ± 0,10 mg kg-1) para Se total. Se utilizó un esquema de extracción secuencial utilizando soluciones </w:t>
      </w:r>
      <w:proofErr w:type="spellStart"/>
      <w:r w:rsidR="003A0B33">
        <w:rPr>
          <w:rFonts w:ascii="Arial" w:hAnsi="Arial"/>
          <w:sz w:val="20"/>
          <w:szCs w:val="20"/>
          <w:lang w:val="es-AR"/>
        </w:rPr>
        <w:t>extractantes</w:t>
      </w:r>
      <w:proofErr w:type="spellEnd"/>
      <w:r w:rsidRPr="009F6273">
        <w:rPr>
          <w:rFonts w:ascii="Arial" w:hAnsi="Arial"/>
          <w:sz w:val="20"/>
          <w:szCs w:val="20"/>
          <w:lang w:val="es-AR"/>
        </w:rPr>
        <w:t xml:space="preserve"> [1] </w:t>
      </w:r>
      <w:r w:rsidR="003A0B33">
        <w:rPr>
          <w:rFonts w:ascii="Arial" w:hAnsi="Arial"/>
          <w:sz w:val="20"/>
          <w:szCs w:val="20"/>
          <w:lang w:val="es-AR"/>
        </w:rPr>
        <w:t xml:space="preserve">con el propósito de realizar el </w:t>
      </w:r>
      <w:r w:rsidRPr="009F6273">
        <w:rPr>
          <w:rFonts w:ascii="Arial" w:hAnsi="Arial"/>
          <w:sz w:val="20"/>
          <w:szCs w:val="20"/>
          <w:lang w:val="es-AR"/>
        </w:rPr>
        <w:t>análisis de especiación</w:t>
      </w:r>
      <w:r w:rsidR="003A0B33">
        <w:rPr>
          <w:rFonts w:ascii="Arial" w:hAnsi="Arial"/>
          <w:sz w:val="20"/>
          <w:szCs w:val="20"/>
          <w:lang w:val="es-AR"/>
        </w:rPr>
        <w:t xml:space="preserve"> de las distintas fracciones</w:t>
      </w:r>
      <w:r w:rsidRPr="009F6273">
        <w:rPr>
          <w:rFonts w:ascii="Arial" w:hAnsi="Arial"/>
          <w:sz w:val="20"/>
          <w:szCs w:val="20"/>
          <w:lang w:val="es-AR"/>
        </w:rPr>
        <w:t xml:space="preserve">. La fracción disponible, que se refiere a </w:t>
      </w:r>
      <w:r w:rsidR="003A0B33">
        <w:rPr>
          <w:rFonts w:ascii="Arial" w:hAnsi="Arial"/>
          <w:sz w:val="20"/>
          <w:szCs w:val="20"/>
          <w:lang w:val="es-AR"/>
        </w:rPr>
        <w:t xml:space="preserve"> </w:t>
      </w:r>
      <w:r w:rsidRPr="009F6273">
        <w:rPr>
          <w:rFonts w:ascii="Arial" w:hAnsi="Arial"/>
          <w:sz w:val="20"/>
          <w:szCs w:val="20"/>
          <w:lang w:val="es-AR"/>
        </w:rPr>
        <w:t>Se</w:t>
      </w:r>
      <w:r w:rsidR="003A0B33" w:rsidRPr="003A0B33">
        <w:rPr>
          <w:rFonts w:ascii="Arial" w:hAnsi="Arial"/>
          <w:sz w:val="20"/>
          <w:szCs w:val="20"/>
          <w:vertAlign w:val="superscript"/>
          <w:lang w:val="es-AR"/>
        </w:rPr>
        <w:t>+6</w:t>
      </w:r>
      <w:r w:rsidR="003A0B33">
        <w:rPr>
          <w:rFonts w:ascii="Arial" w:hAnsi="Arial"/>
          <w:sz w:val="20"/>
          <w:szCs w:val="20"/>
          <w:lang w:val="es-AR"/>
        </w:rPr>
        <w:t xml:space="preserve"> </w:t>
      </w:r>
      <w:r w:rsidRPr="009F6273">
        <w:rPr>
          <w:rFonts w:ascii="Arial" w:hAnsi="Arial"/>
          <w:sz w:val="20"/>
          <w:szCs w:val="20"/>
          <w:lang w:val="es-AR"/>
        </w:rPr>
        <w:t>soluble y Se</w:t>
      </w:r>
      <w:r w:rsidR="003A0B33" w:rsidRPr="003A0B33">
        <w:rPr>
          <w:rFonts w:ascii="Arial" w:hAnsi="Arial"/>
          <w:sz w:val="20"/>
          <w:szCs w:val="20"/>
          <w:vertAlign w:val="superscript"/>
          <w:lang w:val="es-AR"/>
        </w:rPr>
        <w:t>+</w:t>
      </w:r>
      <w:r w:rsidRPr="003A0B33">
        <w:rPr>
          <w:rFonts w:ascii="Arial" w:hAnsi="Arial"/>
          <w:sz w:val="20"/>
          <w:szCs w:val="20"/>
          <w:vertAlign w:val="superscript"/>
          <w:lang w:val="es-AR"/>
        </w:rPr>
        <w:t>4</w:t>
      </w:r>
      <w:r w:rsidRPr="009F6273">
        <w:rPr>
          <w:rFonts w:ascii="Arial" w:hAnsi="Arial"/>
          <w:sz w:val="20"/>
          <w:szCs w:val="20"/>
          <w:lang w:val="es-AR"/>
        </w:rPr>
        <w:t xml:space="preserve">  intercambiable, se extrajo con soluc</w:t>
      </w:r>
      <w:r w:rsidR="003A0B33">
        <w:rPr>
          <w:rFonts w:ascii="Arial" w:hAnsi="Arial"/>
          <w:sz w:val="20"/>
          <w:szCs w:val="20"/>
          <w:lang w:val="es-AR"/>
        </w:rPr>
        <w:t>ión de tampón KH2PO4</w:t>
      </w:r>
      <w:r w:rsidRPr="009F6273">
        <w:rPr>
          <w:rFonts w:ascii="Arial" w:hAnsi="Arial"/>
          <w:sz w:val="20"/>
          <w:szCs w:val="20"/>
          <w:lang w:val="es-AR"/>
        </w:rPr>
        <w:t xml:space="preserve">/K2HPO4 0,1 M a pH 7. </w:t>
      </w:r>
      <w:r w:rsidR="003A0B33">
        <w:rPr>
          <w:rFonts w:ascii="Arial" w:hAnsi="Arial"/>
          <w:sz w:val="20"/>
          <w:szCs w:val="20"/>
          <w:lang w:val="es-AR"/>
        </w:rPr>
        <w:t xml:space="preserve">El selenio ligado a la materia orgánica del material remanente del suelo  se extrajo con </w:t>
      </w:r>
      <w:r w:rsidR="003A0B33" w:rsidRPr="003A0B33">
        <w:rPr>
          <w:rFonts w:ascii="Arial" w:hAnsi="Arial"/>
          <w:sz w:val="20"/>
          <w:szCs w:val="20"/>
          <w:lang w:val="es-AR"/>
        </w:rPr>
        <w:t>0.1 M K</w:t>
      </w:r>
      <w:r w:rsidR="003A0B33" w:rsidRPr="003A0B33">
        <w:rPr>
          <w:rFonts w:ascii="Arial" w:hAnsi="Arial"/>
          <w:sz w:val="20"/>
          <w:szCs w:val="20"/>
          <w:vertAlign w:val="subscript"/>
          <w:lang w:val="es-AR"/>
        </w:rPr>
        <w:t>2</w:t>
      </w:r>
      <w:r w:rsidR="003A0B33" w:rsidRPr="003A0B33">
        <w:rPr>
          <w:rFonts w:ascii="Arial" w:hAnsi="Arial"/>
          <w:sz w:val="20"/>
          <w:szCs w:val="20"/>
          <w:lang w:val="es-AR"/>
        </w:rPr>
        <w:t>S</w:t>
      </w:r>
      <w:r w:rsidR="003A0B33" w:rsidRPr="003A0B33">
        <w:rPr>
          <w:rFonts w:ascii="Arial" w:hAnsi="Arial"/>
          <w:sz w:val="20"/>
          <w:szCs w:val="20"/>
          <w:vertAlign w:val="subscript"/>
          <w:lang w:val="es-AR"/>
        </w:rPr>
        <w:t>2</w:t>
      </w:r>
      <w:r w:rsidR="003A0B33" w:rsidRPr="003A0B33">
        <w:rPr>
          <w:rFonts w:ascii="Arial" w:hAnsi="Arial"/>
          <w:sz w:val="20"/>
          <w:szCs w:val="20"/>
          <w:lang w:val="es-AR"/>
        </w:rPr>
        <w:t>O</w:t>
      </w:r>
      <w:r w:rsidR="003A0B33" w:rsidRPr="003A0B33">
        <w:rPr>
          <w:rFonts w:ascii="Arial" w:hAnsi="Arial"/>
          <w:sz w:val="20"/>
          <w:szCs w:val="20"/>
          <w:vertAlign w:val="subscript"/>
          <w:lang w:val="es-AR"/>
        </w:rPr>
        <w:t>8</w:t>
      </w:r>
      <w:r w:rsidR="003A0B33" w:rsidRPr="003A0B33">
        <w:rPr>
          <w:rFonts w:ascii="Arial" w:hAnsi="Arial"/>
          <w:sz w:val="20"/>
          <w:szCs w:val="20"/>
          <w:lang w:val="es-AR"/>
        </w:rPr>
        <w:t xml:space="preserve"> at 90°C. </w:t>
      </w:r>
      <w:r w:rsidRPr="009F6273">
        <w:rPr>
          <w:rFonts w:ascii="Arial" w:hAnsi="Arial"/>
          <w:sz w:val="20"/>
          <w:szCs w:val="20"/>
          <w:lang w:val="es-AR"/>
        </w:rPr>
        <w:t>Para ambos</w:t>
      </w:r>
      <w:r w:rsidR="003A0B33">
        <w:rPr>
          <w:rFonts w:ascii="Arial" w:hAnsi="Arial"/>
          <w:sz w:val="20"/>
          <w:szCs w:val="20"/>
          <w:lang w:val="es-AR"/>
        </w:rPr>
        <w:t xml:space="preserve"> extractos</w:t>
      </w:r>
      <w:r w:rsidRPr="009F6273">
        <w:rPr>
          <w:rFonts w:ascii="Arial" w:hAnsi="Arial"/>
          <w:sz w:val="20"/>
          <w:szCs w:val="20"/>
          <w:lang w:val="es-AR"/>
        </w:rPr>
        <w:t>, se rea</w:t>
      </w:r>
      <w:r w:rsidR="003A0B33">
        <w:rPr>
          <w:rFonts w:ascii="Arial" w:hAnsi="Arial"/>
          <w:sz w:val="20"/>
          <w:szCs w:val="20"/>
          <w:lang w:val="es-AR"/>
        </w:rPr>
        <w:t>lizó una reducción previa de Se</w:t>
      </w:r>
      <w:r w:rsidRPr="003A0B33">
        <w:rPr>
          <w:rFonts w:ascii="Arial" w:hAnsi="Arial"/>
          <w:sz w:val="20"/>
          <w:szCs w:val="20"/>
          <w:vertAlign w:val="superscript"/>
          <w:lang w:val="es-AR"/>
        </w:rPr>
        <w:t>+6</w:t>
      </w:r>
      <w:r w:rsidRPr="009F6273">
        <w:rPr>
          <w:rFonts w:ascii="Arial" w:hAnsi="Arial"/>
          <w:sz w:val="20"/>
          <w:szCs w:val="20"/>
          <w:lang w:val="es-AR"/>
        </w:rPr>
        <w:t xml:space="preserve"> </w:t>
      </w:r>
      <w:r w:rsidR="003A0B33">
        <w:rPr>
          <w:rFonts w:ascii="Arial" w:hAnsi="Arial"/>
          <w:sz w:val="20"/>
          <w:szCs w:val="20"/>
          <w:lang w:val="es-AR"/>
        </w:rPr>
        <w:t>a Se</w:t>
      </w:r>
      <w:r w:rsidR="003A0B33" w:rsidRPr="009F6273">
        <w:rPr>
          <w:rFonts w:ascii="Arial" w:hAnsi="Arial"/>
          <w:sz w:val="20"/>
          <w:szCs w:val="20"/>
          <w:vertAlign w:val="superscript"/>
          <w:lang w:val="es-AR"/>
        </w:rPr>
        <w:t>+4</w:t>
      </w:r>
      <w:r w:rsidR="003A0B33" w:rsidRPr="009F6273">
        <w:rPr>
          <w:rFonts w:ascii="Arial" w:hAnsi="Arial"/>
          <w:sz w:val="20"/>
          <w:szCs w:val="20"/>
          <w:lang w:val="es-AR"/>
        </w:rPr>
        <w:t xml:space="preserve"> </w:t>
      </w:r>
      <w:r w:rsidRPr="009F6273">
        <w:rPr>
          <w:rFonts w:ascii="Arial" w:hAnsi="Arial"/>
          <w:sz w:val="20"/>
          <w:szCs w:val="20"/>
          <w:lang w:val="es-AR"/>
        </w:rPr>
        <w:t>en línea</w:t>
      </w:r>
      <w:r w:rsidR="003A0B33">
        <w:rPr>
          <w:rFonts w:ascii="Arial" w:hAnsi="Arial"/>
          <w:sz w:val="20"/>
          <w:szCs w:val="20"/>
          <w:lang w:val="es-AR"/>
        </w:rPr>
        <w:t xml:space="preserve"> al FI-HGAAS,</w:t>
      </w:r>
      <w:r w:rsidRPr="009F6273">
        <w:rPr>
          <w:rFonts w:ascii="Arial" w:hAnsi="Arial"/>
          <w:sz w:val="20"/>
          <w:szCs w:val="20"/>
          <w:lang w:val="es-AR"/>
        </w:rPr>
        <w:t xml:space="preserve"> en un medio HCl 6 M</w:t>
      </w:r>
      <w:r w:rsidR="003A0B33">
        <w:rPr>
          <w:rFonts w:ascii="Arial" w:hAnsi="Arial"/>
          <w:sz w:val="20"/>
          <w:szCs w:val="20"/>
          <w:lang w:val="es-AR"/>
        </w:rPr>
        <w:t xml:space="preserve"> y temperatura de 100°C</w:t>
      </w:r>
      <w:r w:rsidRPr="009F6273">
        <w:rPr>
          <w:rFonts w:ascii="Arial" w:hAnsi="Arial"/>
          <w:sz w:val="20"/>
          <w:szCs w:val="20"/>
          <w:lang w:val="es-AR"/>
        </w:rPr>
        <w:t>, que permitió minimizar las interferencias de la matriz debido a la materia orgánica observada</w:t>
      </w:r>
      <w:r w:rsidR="003A0B33">
        <w:rPr>
          <w:rFonts w:ascii="Arial" w:hAnsi="Arial"/>
          <w:sz w:val="20"/>
          <w:szCs w:val="20"/>
          <w:lang w:val="es-AR"/>
        </w:rPr>
        <w:t xml:space="preserve"> cuando esta etapa se lleva a cabo en un sistema de pre-reducción discontinuo.</w:t>
      </w:r>
      <w:r w:rsidR="007652BA">
        <w:rPr>
          <w:rFonts w:ascii="Arial" w:hAnsi="Arial"/>
          <w:sz w:val="20"/>
          <w:szCs w:val="20"/>
          <w:lang w:val="es-AR"/>
        </w:rPr>
        <w:t xml:space="preserve"> </w:t>
      </w:r>
      <w:r w:rsidRPr="003A0B33">
        <w:rPr>
          <w:rFonts w:ascii="Arial" w:hAnsi="Arial"/>
          <w:sz w:val="20"/>
          <w:szCs w:val="20"/>
          <w:lang w:val="es-AR"/>
        </w:rPr>
        <w:t>Los valores de recuperación oscilaron entre 80-95%.</w:t>
      </w:r>
    </w:p>
    <w:p w:rsidR="00551D5C" w:rsidRPr="003A0B33" w:rsidRDefault="00551D5C" w:rsidP="00551D5C">
      <w:pPr>
        <w:pStyle w:val="Referncias"/>
        <w:numPr>
          <w:ilvl w:val="0"/>
          <w:numId w:val="0"/>
        </w:numPr>
        <w:spacing w:before="0" w:after="0"/>
        <w:rPr>
          <w:rFonts w:ascii="Arial" w:hAnsi="Arial"/>
          <w:sz w:val="20"/>
          <w:szCs w:val="20"/>
          <w:lang w:val="es-AR"/>
        </w:rPr>
      </w:pPr>
    </w:p>
    <w:p w:rsidR="007652BA" w:rsidRDefault="007652BA" w:rsidP="007652BA">
      <w:pPr>
        <w:pStyle w:val="Texto"/>
        <w:rPr>
          <w:rFonts w:ascii="Arial" w:hAnsi="Arial"/>
          <w:lang w:val="es-AR"/>
        </w:rPr>
      </w:pPr>
      <w:r>
        <w:rPr>
          <w:rFonts w:ascii="Arial" w:hAnsi="Arial"/>
          <w:lang w:val="es-AR"/>
        </w:rPr>
        <w:t xml:space="preserve">Se analizaron 36 suelos de la provincia de Santa Fe, de zonas rurales de Esperanza, Rafaela, </w:t>
      </w:r>
      <w:proofErr w:type="spellStart"/>
      <w:r>
        <w:rPr>
          <w:rFonts w:ascii="Arial" w:hAnsi="Arial"/>
          <w:lang w:val="es-AR"/>
        </w:rPr>
        <w:t>Clason</w:t>
      </w:r>
      <w:proofErr w:type="spellEnd"/>
      <w:r>
        <w:rPr>
          <w:rFonts w:ascii="Arial" w:hAnsi="Arial"/>
          <w:lang w:val="es-AR"/>
        </w:rPr>
        <w:t xml:space="preserve">, </w:t>
      </w:r>
      <w:proofErr w:type="spellStart"/>
      <w:r>
        <w:rPr>
          <w:rFonts w:ascii="Arial" w:hAnsi="Arial"/>
          <w:lang w:val="es-AR"/>
        </w:rPr>
        <w:t>Galvez</w:t>
      </w:r>
      <w:proofErr w:type="spellEnd"/>
      <w:r>
        <w:rPr>
          <w:rFonts w:ascii="Arial" w:hAnsi="Arial"/>
          <w:lang w:val="es-AR"/>
        </w:rPr>
        <w:t>, San Justo, San Bernardo y Loma Alta. L</w:t>
      </w:r>
      <w:r w:rsidRPr="007652BA">
        <w:rPr>
          <w:rFonts w:ascii="Arial" w:hAnsi="Arial"/>
          <w:lang w:val="es-AR"/>
        </w:rPr>
        <w:t xml:space="preserve">a concentración máxima </w:t>
      </w:r>
      <w:r>
        <w:rPr>
          <w:rFonts w:ascii="Arial" w:hAnsi="Arial"/>
          <w:lang w:val="es-AR"/>
        </w:rPr>
        <w:t xml:space="preserve">hallada </w:t>
      </w:r>
      <w:r w:rsidRPr="007652BA">
        <w:rPr>
          <w:rFonts w:ascii="Arial" w:hAnsi="Arial"/>
          <w:lang w:val="es-AR"/>
        </w:rPr>
        <w:t>del total</w:t>
      </w:r>
      <w:r>
        <w:rPr>
          <w:rFonts w:ascii="Arial" w:hAnsi="Arial"/>
          <w:lang w:val="es-AR"/>
        </w:rPr>
        <w:t xml:space="preserve"> de muestras</w:t>
      </w:r>
      <w:r w:rsidRPr="007652BA">
        <w:rPr>
          <w:rFonts w:ascii="Arial" w:hAnsi="Arial"/>
          <w:lang w:val="es-AR"/>
        </w:rPr>
        <w:t xml:space="preserve"> fue de 400 μg</w:t>
      </w:r>
      <w:r>
        <w:rPr>
          <w:rFonts w:ascii="Arial" w:hAnsi="Arial"/>
          <w:lang w:val="es-AR"/>
        </w:rPr>
        <w:t xml:space="preserve"> Se</w:t>
      </w:r>
      <w:r w:rsidRPr="007652BA">
        <w:rPr>
          <w:rFonts w:ascii="Arial" w:hAnsi="Arial"/>
          <w:lang w:val="es-AR"/>
        </w:rPr>
        <w:t xml:space="preserve"> kg</w:t>
      </w:r>
      <w:r w:rsidRPr="007652BA">
        <w:rPr>
          <w:rFonts w:ascii="Arial" w:hAnsi="Arial"/>
          <w:vertAlign w:val="superscript"/>
          <w:lang w:val="es-AR"/>
        </w:rPr>
        <w:t>-1.</w:t>
      </w:r>
      <w:r w:rsidRPr="007652BA">
        <w:rPr>
          <w:rFonts w:ascii="Arial" w:hAnsi="Arial"/>
          <w:lang w:val="es-AR"/>
        </w:rPr>
        <w:t xml:space="preserve"> Todos mostraron concentraciones de Se disponibles por debajo del LOD de 24 μg kg</w:t>
      </w:r>
      <w:r w:rsidRPr="007652BA">
        <w:rPr>
          <w:rFonts w:ascii="Arial" w:hAnsi="Arial"/>
          <w:vertAlign w:val="superscript"/>
          <w:lang w:val="es-AR"/>
        </w:rPr>
        <w:t>-1</w:t>
      </w:r>
      <w:r w:rsidRPr="007652BA">
        <w:rPr>
          <w:rFonts w:ascii="Arial" w:hAnsi="Arial"/>
          <w:lang w:val="es-AR"/>
        </w:rPr>
        <w:t>, que pueden relacionarse con los datos existentes de Se total en aguas subterráneas de menos de 10 μg L</w:t>
      </w:r>
      <w:r w:rsidRPr="007652BA">
        <w:rPr>
          <w:rFonts w:ascii="Arial" w:hAnsi="Arial"/>
          <w:vertAlign w:val="superscript"/>
          <w:lang w:val="es-AR"/>
        </w:rPr>
        <w:t>-1</w:t>
      </w:r>
      <w:r w:rsidRPr="007652BA">
        <w:rPr>
          <w:rFonts w:ascii="Arial" w:hAnsi="Arial"/>
          <w:lang w:val="es-AR"/>
        </w:rPr>
        <w:t xml:space="preserve"> [2]. La fase orgánica mostró valores entre LOD y 150 μg kg</w:t>
      </w:r>
      <w:r w:rsidRPr="007652BA">
        <w:rPr>
          <w:rFonts w:ascii="Arial" w:hAnsi="Arial"/>
          <w:vertAlign w:val="superscript"/>
          <w:lang w:val="es-AR"/>
        </w:rPr>
        <w:t>-1</w:t>
      </w:r>
      <w:r w:rsidRPr="007652BA">
        <w:rPr>
          <w:rFonts w:ascii="Arial" w:hAnsi="Arial"/>
          <w:lang w:val="es-AR"/>
        </w:rPr>
        <w:t xml:space="preserve">. </w:t>
      </w:r>
      <w:proofErr w:type="spellStart"/>
      <w:r w:rsidRPr="007652BA">
        <w:rPr>
          <w:rFonts w:ascii="Arial" w:hAnsi="Arial"/>
          <w:lang w:val="es-AR"/>
        </w:rPr>
        <w:t>El</w:t>
      </w:r>
      <w:proofErr w:type="spellEnd"/>
      <w:r w:rsidRPr="007652BA">
        <w:rPr>
          <w:rFonts w:ascii="Arial" w:hAnsi="Arial"/>
          <w:lang w:val="es-AR"/>
        </w:rPr>
        <w:t xml:space="preserve"> Se insoluble se calculó como la diferencia entre </w:t>
      </w:r>
      <w:proofErr w:type="spellStart"/>
      <w:r w:rsidRPr="007652BA">
        <w:rPr>
          <w:rFonts w:ascii="Arial" w:hAnsi="Arial"/>
          <w:lang w:val="es-AR"/>
        </w:rPr>
        <w:t>el</w:t>
      </w:r>
      <w:proofErr w:type="spellEnd"/>
      <w:r w:rsidRPr="007652BA">
        <w:rPr>
          <w:rFonts w:ascii="Arial" w:hAnsi="Arial"/>
          <w:lang w:val="es-AR"/>
        </w:rPr>
        <w:t xml:space="preserve"> Se total y </w:t>
      </w:r>
      <w:proofErr w:type="spellStart"/>
      <w:r w:rsidRPr="007652BA">
        <w:rPr>
          <w:rFonts w:ascii="Arial" w:hAnsi="Arial"/>
          <w:lang w:val="es-AR"/>
        </w:rPr>
        <w:t>el</w:t>
      </w:r>
      <w:proofErr w:type="spellEnd"/>
      <w:r w:rsidRPr="007652BA">
        <w:rPr>
          <w:rFonts w:ascii="Arial" w:hAnsi="Arial"/>
          <w:lang w:val="es-AR"/>
        </w:rPr>
        <w:t xml:space="preserve"> Se orgánico.</w:t>
      </w:r>
      <w:r>
        <w:rPr>
          <w:rFonts w:ascii="Arial" w:hAnsi="Arial"/>
          <w:lang w:val="es-AR"/>
        </w:rPr>
        <w:t xml:space="preserve"> </w:t>
      </w:r>
    </w:p>
    <w:p w:rsidR="007652BA" w:rsidRDefault="00E820E0" w:rsidP="001367B0">
      <w:pPr>
        <w:pStyle w:val="Referncias"/>
        <w:numPr>
          <w:ilvl w:val="0"/>
          <w:numId w:val="0"/>
        </w:numPr>
        <w:rPr>
          <w:rFonts w:ascii="Arial" w:hAnsi="Arial"/>
          <w:sz w:val="20"/>
          <w:szCs w:val="20"/>
          <w:lang w:val="es-AR"/>
        </w:rPr>
      </w:pPr>
      <w:r>
        <w:rPr>
          <w:rFonts w:ascii="Arial" w:hAnsi="Arial"/>
          <w:sz w:val="20"/>
          <w:szCs w:val="20"/>
          <w:lang w:val="es-AR"/>
        </w:rPr>
        <w:t>Conclusiones:</w:t>
      </w:r>
    </w:p>
    <w:p w:rsidR="00E820E0" w:rsidRDefault="009D1659" w:rsidP="001367B0">
      <w:pPr>
        <w:pStyle w:val="Referncias"/>
        <w:numPr>
          <w:ilvl w:val="0"/>
          <w:numId w:val="0"/>
        </w:numPr>
        <w:rPr>
          <w:rFonts w:ascii="Arial" w:hAnsi="Arial"/>
          <w:sz w:val="20"/>
          <w:szCs w:val="20"/>
          <w:lang w:val="es-AR"/>
        </w:rPr>
      </w:pPr>
      <w:r>
        <w:rPr>
          <w:rFonts w:ascii="Arial" w:hAnsi="Arial"/>
          <w:sz w:val="20"/>
          <w:szCs w:val="20"/>
          <w:lang w:val="es-AR"/>
        </w:rPr>
        <w:t xml:space="preserve">Los resultados obtenidos muestran que </w:t>
      </w:r>
      <w:r w:rsidR="00D17BA1">
        <w:rPr>
          <w:rFonts w:ascii="Arial" w:hAnsi="Arial"/>
          <w:sz w:val="20"/>
          <w:szCs w:val="20"/>
          <w:lang w:val="es-AR"/>
        </w:rPr>
        <w:t>los suelos analizados se pueden clasificar entre marginales y moderados</w:t>
      </w:r>
      <w:r w:rsidR="00226F5E">
        <w:rPr>
          <w:rFonts w:ascii="Arial" w:hAnsi="Arial"/>
          <w:sz w:val="20"/>
          <w:szCs w:val="20"/>
          <w:lang w:val="es-AR"/>
        </w:rPr>
        <w:t xml:space="preserve"> [3]</w:t>
      </w:r>
      <w:r w:rsidR="00D17BA1">
        <w:rPr>
          <w:rFonts w:ascii="Arial" w:hAnsi="Arial"/>
          <w:sz w:val="20"/>
          <w:szCs w:val="20"/>
          <w:lang w:val="es-AR"/>
        </w:rPr>
        <w:t xml:space="preserve"> por su contenido de selenio total el cual se encontró en un rango de 130 a 400</w:t>
      </w:r>
      <w:r w:rsidR="00D17BA1" w:rsidRPr="00D17BA1">
        <w:rPr>
          <w:rFonts w:ascii="Arial" w:hAnsi="Arial"/>
          <w:sz w:val="20"/>
          <w:szCs w:val="20"/>
          <w:lang w:val="es-AR"/>
        </w:rPr>
        <w:t xml:space="preserve"> μg kg</w:t>
      </w:r>
      <w:r w:rsidR="00D17BA1" w:rsidRPr="00D17BA1">
        <w:rPr>
          <w:rFonts w:ascii="Arial" w:hAnsi="Arial"/>
          <w:sz w:val="20"/>
          <w:szCs w:val="20"/>
          <w:vertAlign w:val="superscript"/>
          <w:lang w:val="es-AR"/>
        </w:rPr>
        <w:t>-1</w:t>
      </w:r>
      <w:r w:rsidR="00D17BA1">
        <w:rPr>
          <w:rFonts w:ascii="Arial" w:hAnsi="Arial"/>
          <w:sz w:val="20"/>
          <w:szCs w:val="20"/>
          <w:lang w:val="es-AR"/>
        </w:rPr>
        <w:t>. Sin embargo cabe destacar que en ninguna muestra se detectó selenio biodisponible para un nivel de 24</w:t>
      </w:r>
      <w:r w:rsidR="00D17BA1" w:rsidRPr="00D17BA1">
        <w:rPr>
          <w:rFonts w:ascii="Arial" w:hAnsi="Arial"/>
          <w:sz w:val="20"/>
          <w:szCs w:val="20"/>
          <w:lang w:val="es-AR"/>
        </w:rPr>
        <w:t xml:space="preserve"> μg kg</w:t>
      </w:r>
      <w:r w:rsidR="00D17BA1" w:rsidRPr="00D17BA1">
        <w:rPr>
          <w:rFonts w:ascii="Arial" w:hAnsi="Arial"/>
          <w:sz w:val="20"/>
          <w:szCs w:val="20"/>
          <w:vertAlign w:val="superscript"/>
          <w:lang w:val="es-AR"/>
        </w:rPr>
        <w:t>-1</w:t>
      </w:r>
      <w:r w:rsidR="00D17BA1" w:rsidRPr="00D17BA1">
        <w:rPr>
          <w:rFonts w:ascii="Arial" w:hAnsi="Arial"/>
          <w:sz w:val="20"/>
          <w:szCs w:val="20"/>
          <w:lang w:val="es-AR"/>
        </w:rPr>
        <w:t>.</w:t>
      </w:r>
      <w:r w:rsidR="00D17BA1">
        <w:rPr>
          <w:rFonts w:ascii="Arial" w:hAnsi="Arial"/>
          <w:sz w:val="20"/>
          <w:szCs w:val="20"/>
          <w:lang w:val="es-AR"/>
        </w:rPr>
        <w:t xml:space="preserve"> Estos resultados se reflejan en los valores obtenidos de ingesta diaria que hemos publicado, los cuales se encuentran por debajo de los niveles recomendados.</w:t>
      </w:r>
    </w:p>
    <w:p w:rsidR="00D17BA1" w:rsidRPr="007652BA" w:rsidRDefault="00D17BA1" w:rsidP="001367B0">
      <w:pPr>
        <w:pStyle w:val="Referncias"/>
        <w:numPr>
          <w:ilvl w:val="0"/>
          <w:numId w:val="0"/>
        </w:numPr>
        <w:rPr>
          <w:rFonts w:ascii="Arial" w:hAnsi="Arial"/>
          <w:sz w:val="20"/>
          <w:szCs w:val="20"/>
          <w:lang w:val="es-AR"/>
        </w:rPr>
      </w:pPr>
      <w:r>
        <w:rPr>
          <w:rFonts w:ascii="Arial" w:hAnsi="Arial"/>
          <w:sz w:val="20"/>
          <w:szCs w:val="20"/>
          <w:lang w:val="es-AR"/>
        </w:rPr>
        <w:t xml:space="preserve">Estos resultados nos llevan a concluir </w:t>
      </w:r>
      <w:r w:rsidR="0057780A">
        <w:rPr>
          <w:rFonts w:ascii="Arial" w:hAnsi="Arial"/>
          <w:sz w:val="20"/>
          <w:szCs w:val="20"/>
          <w:lang w:val="es-AR"/>
        </w:rPr>
        <w:t>que es</w:t>
      </w:r>
      <w:r>
        <w:rPr>
          <w:rFonts w:ascii="Arial" w:hAnsi="Arial"/>
          <w:sz w:val="20"/>
          <w:szCs w:val="20"/>
          <w:lang w:val="es-AR"/>
        </w:rPr>
        <w:t xml:space="preserve"> </w:t>
      </w:r>
      <w:r w:rsidR="0057780A">
        <w:rPr>
          <w:rFonts w:ascii="Arial" w:hAnsi="Arial"/>
          <w:sz w:val="20"/>
          <w:szCs w:val="20"/>
          <w:lang w:val="es-AR"/>
        </w:rPr>
        <w:t>necesario</w:t>
      </w:r>
      <w:r>
        <w:rPr>
          <w:rFonts w:ascii="Arial" w:hAnsi="Arial"/>
          <w:sz w:val="20"/>
          <w:szCs w:val="20"/>
          <w:lang w:val="es-AR"/>
        </w:rPr>
        <w:t xml:space="preserve"> realizar análisis de especiación de suelos más extensivos en la región, y </w:t>
      </w:r>
      <w:r w:rsidR="0057780A">
        <w:rPr>
          <w:rFonts w:ascii="Arial" w:hAnsi="Arial"/>
          <w:sz w:val="20"/>
          <w:szCs w:val="20"/>
          <w:lang w:val="es-AR"/>
        </w:rPr>
        <w:t xml:space="preserve">estudiar </w:t>
      </w:r>
      <w:bookmarkStart w:id="0" w:name="_GoBack"/>
      <w:bookmarkEnd w:id="0"/>
      <w:r>
        <w:rPr>
          <w:rFonts w:ascii="Arial" w:hAnsi="Arial"/>
          <w:sz w:val="20"/>
          <w:szCs w:val="20"/>
          <w:lang w:val="es-AR"/>
        </w:rPr>
        <w:t>la necesidad de llevar a cabo prácticas de fortificación de los suelos o bien de los alimentos.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8010F" w:rsidRPr="00872232" w:rsidTr="005A75C1">
        <w:trPr>
          <w:trHeight w:val="284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10F" w:rsidRPr="00872232" w:rsidRDefault="00AE75D4" w:rsidP="005A75C1">
            <w:pPr>
              <w:pStyle w:val="EspaoFigura"/>
              <w:jc w:val="left"/>
              <w:rPr>
                <w:lang w:val="en-US"/>
              </w:rPr>
            </w:pPr>
            <w:r w:rsidRPr="005A75C1">
              <w:rPr>
                <w:rFonts w:ascii="Arial" w:hAnsi="Arial"/>
                <w:noProof/>
                <w:lang w:val="es-AR" w:eastAsia="es-A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8E4BB" wp14:editId="77EBAADA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1321435</wp:posOffset>
                      </wp:positionV>
                      <wp:extent cx="2057400" cy="1403985"/>
                      <wp:effectExtent l="0" t="0" r="0" b="63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D5C" w:rsidRPr="00551D5C" w:rsidRDefault="00551D5C">
                                  <w:pPr>
                                    <w:rPr>
                                      <w:rFonts w:ascii="Arial" w:hAnsi="Arial"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  <w:r w:rsidRPr="00551D5C">
                                    <w:rPr>
                                      <w:rFonts w:ascii="Arial" w:hAnsi="Arial"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>Figura 1. Niveles de concentración 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 xml:space="preserve"> Se</w:t>
                                  </w:r>
                                  <w:r w:rsidRPr="00551D5C">
                                    <w:rPr>
                                      <w:rFonts w:ascii="Arial" w:hAnsi="Arial"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 xml:space="preserve"> total y Se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 xml:space="preserve">ligado </w:t>
                                  </w:r>
                                  <w:r w:rsidRPr="00551D5C">
                                    <w:rPr>
                                      <w:rFonts w:ascii="Arial" w:hAnsi="Arial"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>a materia orgánica en muestras de suelo.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13.85pt;margin-top:104.05pt;width:16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" stroked="f">
                      <v:textbox style="mso-fit-shape-to-text:t">
                        <w:txbxContent>
                          <w:p w:rsidR="00551D5C" w:rsidRPr="00551D5C" w:rsidRDefault="00551D5C">
                            <w:pP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551D5C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s-AR"/>
                              </w:rPr>
                              <w:t>Figura 1. Niveles de concentración de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s-AR"/>
                              </w:rPr>
                              <w:t xml:space="preserve"> Se</w:t>
                            </w:r>
                            <w:r w:rsidRPr="00551D5C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s-AR"/>
                              </w:rPr>
                              <w:t xml:space="preserve"> total y Se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s-AR"/>
                              </w:rPr>
                              <w:t xml:space="preserve">ligado </w:t>
                            </w:r>
                            <w:r w:rsidRPr="00551D5C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  <w:lang w:val="es-AR"/>
                              </w:rPr>
                              <w:t>a materia orgánica en muestras de suelo.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9B4">
              <w:rPr>
                <w:noProof/>
                <w:lang w:val="es-AR" w:eastAsia="es-AR"/>
              </w:rPr>
              <w:drawing>
                <wp:inline distT="0" distB="0" distL="0" distR="0" wp14:anchorId="270673FE" wp14:editId="3D9CA86C">
                  <wp:extent cx="3933825" cy="1866900"/>
                  <wp:effectExtent l="0" t="0" r="9525" b="19050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51D5C" w:rsidRDefault="00551D5C" w:rsidP="009A5226">
      <w:pPr>
        <w:pStyle w:val="Endereo"/>
        <w:rPr>
          <w:rFonts w:ascii="Arial" w:hAnsi="Arial" w:cs="Arial"/>
          <w:i w:val="0"/>
          <w:lang w:val="en-US"/>
        </w:rPr>
      </w:pPr>
    </w:p>
    <w:p w:rsidR="00551D5C" w:rsidRDefault="00551D5C" w:rsidP="009A5226">
      <w:pPr>
        <w:pStyle w:val="Endereo"/>
        <w:rPr>
          <w:rFonts w:ascii="Arial" w:hAnsi="Arial" w:cs="Arial"/>
          <w:i w:val="0"/>
          <w:lang w:val="en-US"/>
        </w:rPr>
      </w:pPr>
      <w:proofErr w:type="spellStart"/>
      <w:r>
        <w:rPr>
          <w:rFonts w:ascii="Arial" w:hAnsi="Arial" w:cs="Arial"/>
          <w:i w:val="0"/>
          <w:lang w:val="en-US"/>
        </w:rPr>
        <w:t>Bibliografia</w:t>
      </w:r>
      <w:proofErr w:type="spellEnd"/>
    </w:p>
    <w:p w:rsidR="00914B56" w:rsidRPr="00551D5C" w:rsidRDefault="00226F5E" w:rsidP="009A5226">
      <w:pPr>
        <w:pStyle w:val="Endereo"/>
        <w:rPr>
          <w:rFonts w:ascii="Arial" w:hAnsi="Arial" w:cs="Arial"/>
          <w:i w:val="0"/>
          <w:lang w:val="en-US"/>
        </w:rPr>
      </w:pPr>
      <w:r>
        <w:rPr>
          <w:rFonts w:ascii="Arial" w:hAnsi="Arial" w:cs="Arial"/>
          <w:i w:val="0"/>
          <w:lang w:val="en-US"/>
        </w:rPr>
        <w:t>[</w:t>
      </w:r>
      <w:r w:rsidR="00914B56" w:rsidRPr="00551D5C">
        <w:rPr>
          <w:rFonts w:ascii="Arial" w:hAnsi="Arial" w:cs="Arial"/>
          <w:i w:val="0"/>
          <w:lang w:val="en-US"/>
        </w:rPr>
        <w:t>1] Martens D, Suarez D, Environmental Science &amp; Technology 1997, 31, 133</w:t>
      </w:r>
    </w:p>
    <w:p w:rsidR="009A5226" w:rsidRDefault="00914B56" w:rsidP="009A5226">
      <w:pPr>
        <w:pStyle w:val="Endereo"/>
        <w:rPr>
          <w:rFonts w:ascii="Arial" w:hAnsi="Arial" w:cs="Arial"/>
          <w:i w:val="0"/>
          <w:lang w:val="en-US"/>
        </w:rPr>
      </w:pPr>
      <w:r w:rsidRPr="00551D5C">
        <w:rPr>
          <w:rFonts w:ascii="Arial" w:hAnsi="Arial" w:cs="Arial"/>
          <w:i w:val="0"/>
          <w:lang w:val="en-US"/>
        </w:rPr>
        <w:t xml:space="preserve">[2] Sigrist M, Brusa L, </w:t>
      </w:r>
      <w:proofErr w:type="spellStart"/>
      <w:r w:rsidRPr="00551D5C">
        <w:rPr>
          <w:rFonts w:ascii="Arial" w:hAnsi="Arial" w:cs="Arial"/>
          <w:i w:val="0"/>
          <w:lang w:val="en-US"/>
        </w:rPr>
        <w:t>Campagnoli</w:t>
      </w:r>
      <w:proofErr w:type="spellEnd"/>
      <w:r w:rsidRPr="00551D5C">
        <w:rPr>
          <w:rFonts w:ascii="Arial" w:hAnsi="Arial" w:cs="Arial"/>
          <w:i w:val="0"/>
          <w:lang w:val="en-US"/>
        </w:rPr>
        <w:t xml:space="preserve"> D, Beldoménico H, Food Chemistry 2012, 134, 4, 1932</w:t>
      </w:r>
    </w:p>
    <w:p w:rsidR="00226F5E" w:rsidRPr="00551D5C" w:rsidRDefault="00226F5E" w:rsidP="00226F5E">
      <w:pPr>
        <w:pStyle w:val="Endereo"/>
        <w:rPr>
          <w:rFonts w:ascii="Arial" w:hAnsi="Arial" w:cs="Arial"/>
          <w:lang w:val="en-GB"/>
        </w:rPr>
      </w:pPr>
      <w:r>
        <w:rPr>
          <w:rFonts w:ascii="Arial" w:hAnsi="Arial" w:cs="Arial"/>
          <w:i w:val="0"/>
          <w:lang w:val="en-US"/>
        </w:rPr>
        <w:t xml:space="preserve">[3] </w:t>
      </w:r>
      <w:r w:rsidRPr="00226F5E">
        <w:rPr>
          <w:rFonts w:ascii="Arial" w:hAnsi="Arial" w:cs="Arial"/>
          <w:i w:val="0"/>
          <w:lang w:val="en-US"/>
        </w:rPr>
        <w:t xml:space="preserve">Tan </w:t>
      </w:r>
      <w:proofErr w:type="spellStart"/>
      <w:r w:rsidRPr="00226F5E">
        <w:rPr>
          <w:rFonts w:ascii="Arial" w:hAnsi="Arial" w:cs="Arial"/>
          <w:i w:val="0"/>
          <w:lang w:val="en-US"/>
        </w:rPr>
        <w:t>Jian’an</w:t>
      </w:r>
      <w:proofErr w:type="spellEnd"/>
      <w:r w:rsidRPr="00226F5E">
        <w:rPr>
          <w:rFonts w:ascii="Arial" w:hAnsi="Arial" w:cs="Arial"/>
          <w:i w:val="0"/>
          <w:lang w:val="en-US"/>
        </w:rPr>
        <w:t xml:space="preserve">, editor. </w:t>
      </w:r>
      <w:proofErr w:type="gramStart"/>
      <w:r w:rsidRPr="00226F5E">
        <w:rPr>
          <w:rFonts w:ascii="Arial" w:hAnsi="Arial" w:cs="Arial"/>
          <w:i w:val="0"/>
          <w:lang w:val="en-US"/>
        </w:rPr>
        <w:t>The Atlas of Endemic Diseases and their</w:t>
      </w:r>
      <w:r>
        <w:rPr>
          <w:rFonts w:ascii="Arial" w:hAnsi="Arial" w:cs="Arial"/>
          <w:i w:val="0"/>
          <w:lang w:val="en-US"/>
        </w:rPr>
        <w:t xml:space="preserve"> </w:t>
      </w:r>
      <w:r w:rsidRPr="00226F5E">
        <w:rPr>
          <w:rFonts w:ascii="Arial" w:hAnsi="Arial" w:cs="Arial"/>
          <w:i w:val="0"/>
          <w:lang w:val="en-US"/>
        </w:rPr>
        <w:t>Environment.</w:t>
      </w:r>
      <w:proofErr w:type="gramEnd"/>
      <w:r w:rsidRPr="00226F5E">
        <w:rPr>
          <w:rFonts w:ascii="Arial" w:hAnsi="Arial" w:cs="Arial"/>
          <w:i w:val="0"/>
          <w:lang w:val="en-US"/>
        </w:rPr>
        <w:t xml:space="preserve"> Beijing, PR China: Science Press, 1989.</w:t>
      </w:r>
    </w:p>
    <w:sectPr w:rsidR="00226F5E" w:rsidRPr="00551D5C" w:rsidSect="00107338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3C" w:rsidRDefault="0030063C">
      <w:r>
        <w:separator/>
      </w:r>
    </w:p>
  </w:endnote>
  <w:endnote w:type="continuationSeparator" w:id="0">
    <w:p w:rsidR="0030063C" w:rsidRDefault="003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3C" w:rsidRDefault="0030063C">
      <w:r>
        <w:separator/>
      </w:r>
    </w:p>
  </w:footnote>
  <w:footnote w:type="continuationSeparator" w:id="0">
    <w:p w:rsidR="0030063C" w:rsidRDefault="0030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7C09"/>
    <w:multiLevelType w:val="hybridMultilevel"/>
    <w:tmpl w:val="43A69400"/>
    <w:lvl w:ilvl="0" w:tplc="2690B104">
      <w:start w:val="1"/>
      <w:numFmt w:val="decimal"/>
      <w:pStyle w:val="Referncias"/>
      <w:lvlText w:val="[%1]"/>
      <w:lvlJc w:val="left"/>
      <w:pPr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(Citation Order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34E58"/>
    <w:rsid w:val="000069A2"/>
    <w:rsid w:val="00012198"/>
    <w:rsid w:val="000214CC"/>
    <w:rsid w:val="00040F93"/>
    <w:rsid w:val="00082562"/>
    <w:rsid w:val="000F23F1"/>
    <w:rsid w:val="001058F4"/>
    <w:rsid w:val="00107338"/>
    <w:rsid w:val="001103EF"/>
    <w:rsid w:val="00125755"/>
    <w:rsid w:val="0012646E"/>
    <w:rsid w:val="001367B0"/>
    <w:rsid w:val="00140899"/>
    <w:rsid w:val="001C3D9D"/>
    <w:rsid w:val="001D1E60"/>
    <w:rsid w:val="001E0319"/>
    <w:rsid w:val="001E76C3"/>
    <w:rsid w:val="00200816"/>
    <w:rsid w:val="00226F5E"/>
    <w:rsid w:val="00234E58"/>
    <w:rsid w:val="0025303B"/>
    <w:rsid w:val="00260D09"/>
    <w:rsid w:val="00261791"/>
    <w:rsid w:val="002D1591"/>
    <w:rsid w:val="002D6C1C"/>
    <w:rsid w:val="002F2DA2"/>
    <w:rsid w:val="002F79EE"/>
    <w:rsid w:val="0030063C"/>
    <w:rsid w:val="00307191"/>
    <w:rsid w:val="00345526"/>
    <w:rsid w:val="003457E4"/>
    <w:rsid w:val="00346979"/>
    <w:rsid w:val="003840E6"/>
    <w:rsid w:val="003A0B33"/>
    <w:rsid w:val="003D31EE"/>
    <w:rsid w:val="003D7217"/>
    <w:rsid w:val="003E1EF4"/>
    <w:rsid w:val="003E72B0"/>
    <w:rsid w:val="004341DD"/>
    <w:rsid w:val="00435814"/>
    <w:rsid w:val="004512D9"/>
    <w:rsid w:val="004827BA"/>
    <w:rsid w:val="004848B1"/>
    <w:rsid w:val="0049438B"/>
    <w:rsid w:val="00551D5C"/>
    <w:rsid w:val="0057780A"/>
    <w:rsid w:val="00592624"/>
    <w:rsid w:val="005A17F8"/>
    <w:rsid w:val="005A75C1"/>
    <w:rsid w:val="005C16DA"/>
    <w:rsid w:val="005C3808"/>
    <w:rsid w:val="005D16B7"/>
    <w:rsid w:val="005D603C"/>
    <w:rsid w:val="005F5AB8"/>
    <w:rsid w:val="006240A6"/>
    <w:rsid w:val="006476CE"/>
    <w:rsid w:val="00647827"/>
    <w:rsid w:val="006652BF"/>
    <w:rsid w:val="0067004E"/>
    <w:rsid w:val="0068010F"/>
    <w:rsid w:val="00694B0C"/>
    <w:rsid w:val="006E0EF4"/>
    <w:rsid w:val="007279C1"/>
    <w:rsid w:val="007652BA"/>
    <w:rsid w:val="00796DF0"/>
    <w:rsid w:val="007A1D5D"/>
    <w:rsid w:val="007B39B4"/>
    <w:rsid w:val="008212D4"/>
    <w:rsid w:val="00825782"/>
    <w:rsid w:val="0086430A"/>
    <w:rsid w:val="00872232"/>
    <w:rsid w:val="008A2B38"/>
    <w:rsid w:val="008D2829"/>
    <w:rsid w:val="00901548"/>
    <w:rsid w:val="0090647A"/>
    <w:rsid w:val="00914B56"/>
    <w:rsid w:val="00917A24"/>
    <w:rsid w:val="00950D7B"/>
    <w:rsid w:val="0099699B"/>
    <w:rsid w:val="009A5226"/>
    <w:rsid w:val="009C49B5"/>
    <w:rsid w:val="009D1659"/>
    <w:rsid w:val="009E056B"/>
    <w:rsid w:val="009F3E31"/>
    <w:rsid w:val="009F6273"/>
    <w:rsid w:val="00A15C38"/>
    <w:rsid w:val="00A20DB9"/>
    <w:rsid w:val="00A37561"/>
    <w:rsid w:val="00A44D7E"/>
    <w:rsid w:val="00A45220"/>
    <w:rsid w:val="00A642C7"/>
    <w:rsid w:val="00A64CE3"/>
    <w:rsid w:val="00AD437D"/>
    <w:rsid w:val="00AE62D9"/>
    <w:rsid w:val="00AE6AD2"/>
    <w:rsid w:val="00AE75D4"/>
    <w:rsid w:val="00B06523"/>
    <w:rsid w:val="00B42FED"/>
    <w:rsid w:val="00B43A56"/>
    <w:rsid w:val="00B87960"/>
    <w:rsid w:val="00BB46EC"/>
    <w:rsid w:val="00BC3083"/>
    <w:rsid w:val="00BD0D1D"/>
    <w:rsid w:val="00BD64BA"/>
    <w:rsid w:val="00BD6594"/>
    <w:rsid w:val="00BE3127"/>
    <w:rsid w:val="00BE7CBC"/>
    <w:rsid w:val="00BF144F"/>
    <w:rsid w:val="00C15C2F"/>
    <w:rsid w:val="00C23BBF"/>
    <w:rsid w:val="00C30577"/>
    <w:rsid w:val="00C37BD8"/>
    <w:rsid w:val="00C42092"/>
    <w:rsid w:val="00C4350A"/>
    <w:rsid w:val="00C47AF2"/>
    <w:rsid w:val="00C65015"/>
    <w:rsid w:val="00C711BB"/>
    <w:rsid w:val="00C867DE"/>
    <w:rsid w:val="00CB7191"/>
    <w:rsid w:val="00CF1145"/>
    <w:rsid w:val="00CF528C"/>
    <w:rsid w:val="00D17BA1"/>
    <w:rsid w:val="00D369C4"/>
    <w:rsid w:val="00D46FDC"/>
    <w:rsid w:val="00D47641"/>
    <w:rsid w:val="00D937CA"/>
    <w:rsid w:val="00D96C67"/>
    <w:rsid w:val="00DD19A8"/>
    <w:rsid w:val="00DE20F8"/>
    <w:rsid w:val="00DE52A8"/>
    <w:rsid w:val="00E16994"/>
    <w:rsid w:val="00E43885"/>
    <w:rsid w:val="00E820E0"/>
    <w:rsid w:val="00E91A91"/>
    <w:rsid w:val="00E9531E"/>
    <w:rsid w:val="00EA0F29"/>
    <w:rsid w:val="00EE1BCD"/>
    <w:rsid w:val="00F343F0"/>
    <w:rsid w:val="00F411BD"/>
    <w:rsid w:val="00F54818"/>
    <w:rsid w:val="00F5486A"/>
    <w:rsid w:val="00FB4C5F"/>
    <w:rsid w:val="00FB6E63"/>
    <w:rsid w:val="00FD27AF"/>
    <w:rsid w:val="00FE318A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D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16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C16DA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5C16DA"/>
    <w:rPr>
      <w:b/>
      <w:bCs/>
    </w:rPr>
  </w:style>
  <w:style w:type="paragraph" w:styleId="Textoindependiente">
    <w:name w:val="Body Text"/>
    <w:basedOn w:val="Normal"/>
    <w:semiHidden/>
    <w:rsid w:val="005C16DA"/>
    <w:pPr>
      <w:jc w:val="center"/>
    </w:pPr>
    <w:rPr>
      <w:rFonts w:ascii="Arial" w:hAnsi="Arial" w:cs="Arial"/>
      <w:sz w:val="22"/>
    </w:rPr>
  </w:style>
  <w:style w:type="table" w:styleId="Tablaconcuadrcula">
    <w:name w:val="Table Grid"/>
    <w:basedOn w:val="Tablanormal"/>
    <w:uiPriority w:val="59"/>
    <w:rsid w:val="00906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0647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47A"/>
    <w:rPr>
      <w:rFonts w:ascii="Tahoma" w:hAnsi="Tahoma" w:cs="Tahoma"/>
      <w:sz w:val="16"/>
      <w:szCs w:val="16"/>
    </w:rPr>
  </w:style>
  <w:style w:type="paragraph" w:customStyle="1" w:styleId="TtulodoResumo">
    <w:name w:val="Título do Resumo"/>
    <w:basedOn w:val="Normal"/>
    <w:qFormat/>
    <w:rsid w:val="0068010F"/>
    <w:pPr>
      <w:spacing w:before="120" w:after="240"/>
      <w:jc w:val="both"/>
    </w:pPr>
    <w:rPr>
      <w:rFonts w:ascii="Calibri" w:eastAsia="Calibri" w:hAnsi="Calibri" w:cs="Arial"/>
      <w:b/>
      <w:sz w:val="30"/>
      <w:szCs w:val="28"/>
      <w:lang w:eastAsia="en-US"/>
    </w:rPr>
  </w:style>
  <w:style w:type="paragraph" w:customStyle="1" w:styleId="Autores">
    <w:name w:val="Autores"/>
    <w:basedOn w:val="TtulodoResumo"/>
    <w:qFormat/>
    <w:rsid w:val="0068010F"/>
    <w:pPr>
      <w:spacing w:after="160"/>
    </w:pPr>
    <w:rPr>
      <w:sz w:val="22"/>
    </w:rPr>
  </w:style>
  <w:style w:type="paragraph" w:customStyle="1" w:styleId="Endereo">
    <w:name w:val="Endereço"/>
    <w:basedOn w:val="Normal"/>
    <w:qFormat/>
    <w:rsid w:val="0068010F"/>
    <w:pPr>
      <w:jc w:val="both"/>
    </w:pPr>
    <w:rPr>
      <w:rFonts w:ascii="Calibri" w:eastAsia="Calibri" w:hAnsi="Calibri"/>
      <w:i/>
      <w:sz w:val="20"/>
      <w:szCs w:val="20"/>
      <w:lang w:eastAsia="en-US"/>
    </w:rPr>
  </w:style>
  <w:style w:type="paragraph" w:customStyle="1" w:styleId="Referncias">
    <w:name w:val="Referências"/>
    <w:basedOn w:val="Texto"/>
    <w:qFormat/>
    <w:rsid w:val="0068010F"/>
    <w:pPr>
      <w:numPr>
        <w:numId w:val="1"/>
      </w:numPr>
      <w:spacing w:before="200" w:after="40"/>
      <w:ind w:left="227" w:hanging="227"/>
      <w:contextualSpacing/>
    </w:pPr>
    <w:rPr>
      <w:rFonts w:ascii="Arial Narrow" w:hAnsi="Arial Narrow"/>
      <w:sz w:val="16"/>
      <w:lang w:val="en-US"/>
    </w:rPr>
  </w:style>
  <w:style w:type="paragraph" w:customStyle="1" w:styleId="Texto">
    <w:name w:val="Texto"/>
    <w:basedOn w:val="Normal"/>
    <w:qFormat/>
    <w:rsid w:val="0068010F"/>
    <w:pPr>
      <w:spacing w:before="60" w:after="60"/>
      <w:ind w:firstLine="284"/>
      <w:jc w:val="both"/>
    </w:pPr>
    <w:rPr>
      <w:rFonts w:ascii="Calibri" w:eastAsia="Calibri" w:hAnsi="Calibri" w:cs="Arial"/>
      <w:sz w:val="20"/>
      <w:szCs w:val="22"/>
      <w:lang w:eastAsia="en-US"/>
    </w:rPr>
  </w:style>
  <w:style w:type="paragraph" w:customStyle="1" w:styleId="Figuras">
    <w:name w:val="Figuras"/>
    <w:basedOn w:val="Texto"/>
    <w:qFormat/>
    <w:rsid w:val="0068010F"/>
    <w:pPr>
      <w:spacing w:before="40" w:after="120"/>
      <w:ind w:firstLine="0"/>
    </w:pPr>
    <w:rPr>
      <w:i/>
      <w:sz w:val="18"/>
    </w:rPr>
  </w:style>
  <w:style w:type="paragraph" w:customStyle="1" w:styleId="Tabela">
    <w:name w:val="Tabela"/>
    <w:basedOn w:val="Figuras"/>
    <w:qFormat/>
    <w:rsid w:val="0068010F"/>
    <w:pPr>
      <w:spacing w:before="120" w:after="40"/>
    </w:pPr>
  </w:style>
  <w:style w:type="paragraph" w:customStyle="1" w:styleId="TextoTabela">
    <w:name w:val="Texto Tabela"/>
    <w:basedOn w:val="Texto"/>
    <w:qFormat/>
    <w:rsid w:val="0068010F"/>
    <w:pPr>
      <w:spacing w:before="0" w:after="0"/>
      <w:ind w:firstLine="0"/>
    </w:pPr>
    <w:rPr>
      <w:sz w:val="16"/>
    </w:rPr>
  </w:style>
  <w:style w:type="paragraph" w:customStyle="1" w:styleId="EspaoFigura">
    <w:name w:val="Espaço Figura"/>
    <w:basedOn w:val="TextoTabela"/>
    <w:qFormat/>
    <w:rsid w:val="0068010F"/>
    <w:pPr>
      <w:spacing w:before="120"/>
      <w:jc w:val="center"/>
    </w:pPr>
  </w:style>
  <w:style w:type="paragraph" w:customStyle="1" w:styleId="Agradecimentos">
    <w:name w:val="Agradecimentos"/>
    <w:basedOn w:val="Texto"/>
    <w:qFormat/>
    <w:rsid w:val="0068010F"/>
    <w:pPr>
      <w:pBdr>
        <w:bottom w:val="single" w:sz="4" w:space="1" w:color="4F81BD"/>
      </w:pBdr>
      <w:spacing w:before="0" w:after="0"/>
      <w:ind w:firstLine="0"/>
    </w:pPr>
  </w:style>
  <w:style w:type="paragraph" w:customStyle="1" w:styleId="m-4375482113832482297referncias">
    <w:name w:val="m_-4375482113832482297referncias"/>
    <w:basedOn w:val="Normal"/>
    <w:rsid w:val="002D6C1C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D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16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C16DA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5C16DA"/>
    <w:rPr>
      <w:b/>
      <w:bCs/>
    </w:rPr>
  </w:style>
  <w:style w:type="paragraph" w:styleId="Textoindependiente">
    <w:name w:val="Body Text"/>
    <w:basedOn w:val="Normal"/>
    <w:semiHidden/>
    <w:rsid w:val="005C16DA"/>
    <w:pPr>
      <w:jc w:val="center"/>
    </w:pPr>
    <w:rPr>
      <w:rFonts w:ascii="Arial" w:hAnsi="Arial" w:cs="Arial"/>
      <w:sz w:val="22"/>
    </w:rPr>
  </w:style>
  <w:style w:type="table" w:styleId="Tablaconcuadrcula">
    <w:name w:val="Table Grid"/>
    <w:basedOn w:val="Tablanormal"/>
    <w:uiPriority w:val="59"/>
    <w:rsid w:val="00906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0647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47A"/>
    <w:rPr>
      <w:rFonts w:ascii="Tahoma" w:hAnsi="Tahoma" w:cs="Tahoma"/>
      <w:sz w:val="16"/>
      <w:szCs w:val="16"/>
    </w:rPr>
  </w:style>
  <w:style w:type="paragraph" w:customStyle="1" w:styleId="TtulodoResumo">
    <w:name w:val="Título do Resumo"/>
    <w:basedOn w:val="Normal"/>
    <w:qFormat/>
    <w:rsid w:val="0068010F"/>
    <w:pPr>
      <w:spacing w:before="120" w:after="240"/>
      <w:jc w:val="both"/>
    </w:pPr>
    <w:rPr>
      <w:rFonts w:ascii="Calibri" w:eastAsia="Calibri" w:hAnsi="Calibri" w:cs="Arial"/>
      <w:b/>
      <w:sz w:val="30"/>
      <w:szCs w:val="28"/>
      <w:lang w:eastAsia="en-US"/>
    </w:rPr>
  </w:style>
  <w:style w:type="paragraph" w:customStyle="1" w:styleId="Autores">
    <w:name w:val="Autores"/>
    <w:basedOn w:val="TtulodoResumo"/>
    <w:qFormat/>
    <w:rsid w:val="0068010F"/>
    <w:pPr>
      <w:spacing w:after="160"/>
    </w:pPr>
    <w:rPr>
      <w:sz w:val="22"/>
    </w:rPr>
  </w:style>
  <w:style w:type="paragraph" w:customStyle="1" w:styleId="Endereo">
    <w:name w:val="Endereço"/>
    <w:basedOn w:val="Normal"/>
    <w:qFormat/>
    <w:rsid w:val="0068010F"/>
    <w:pPr>
      <w:jc w:val="both"/>
    </w:pPr>
    <w:rPr>
      <w:rFonts w:ascii="Calibri" w:eastAsia="Calibri" w:hAnsi="Calibri"/>
      <w:i/>
      <w:sz w:val="20"/>
      <w:szCs w:val="20"/>
      <w:lang w:eastAsia="en-US"/>
    </w:rPr>
  </w:style>
  <w:style w:type="paragraph" w:customStyle="1" w:styleId="Referncias">
    <w:name w:val="Referências"/>
    <w:basedOn w:val="Texto"/>
    <w:qFormat/>
    <w:rsid w:val="0068010F"/>
    <w:pPr>
      <w:numPr>
        <w:numId w:val="1"/>
      </w:numPr>
      <w:spacing w:before="200" w:after="40"/>
      <w:ind w:left="227" w:hanging="227"/>
      <w:contextualSpacing/>
    </w:pPr>
    <w:rPr>
      <w:rFonts w:ascii="Arial Narrow" w:hAnsi="Arial Narrow"/>
      <w:sz w:val="16"/>
      <w:lang w:val="en-US"/>
    </w:rPr>
  </w:style>
  <w:style w:type="paragraph" w:customStyle="1" w:styleId="Texto">
    <w:name w:val="Texto"/>
    <w:basedOn w:val="Normal"/>
    <w:qFormat/>
    <w:rsid w:val="0068010F"/>
    <w:pPr>
      <w:spacing w:before="60" w:after="60"/>
      <w:ind w:firstLine="284"/>
      <w:jc w:val="both"/>
    </w:pPr>
    <w:rPr>
      <w:rFonts w:ascii="Calibri" w:eastAsia="Calibri" w:hAnsi="Calibri" w:cs="Arial"/>
      <w:sz w:val="20"/>
      <w:szCs w:val="22"/>
      <w:lang w:eastAsia="en-US"/>
    </w:rPr>
  </w:style>
  <w:style w:type="paragraph" w:customStyle="1" w:styleId="Figuras">
    <w:name w:val="Figuras"/>
    <w:basedOn w:val="Texto"/>
    <w:qFormat/>
    <w:rsid w:val="0068010F"/>
    <w:pPr>
      <w:spacing w:before="40" w:after="120"/>
      <w:ind w:firstLine="0"/>
    </w:pPr>
    <w:rPr>
      <w:i/>
      <w:sz w:val="18"/>
    </w:rPr>
  </w:style>
  <w:style w:type="paragraph" w:customStyle="1" w:styleId="Tabela">
    <w:name w:val="Tabela"/>
    <w:basedOn w:val="Figuras"/>
    <w:qFormat/>
    <w:rsid w:val="0068010F"/>
    <w:pPr>
      <w:spacing w:before="120" w:after="40"/>
    </w:pPr>
  </w:style>
  <w:style w:type="paragraph" w:customStyle="1" w:styleId="TextoTabela">
    <w:name w:val="Texto Tabela"/>
    <w:basedOn w:val="Texto"/>
    <w:qFormat/>
    <w:rsid w:val="0068010F"/>
    <w:pPr>
      <w:spacing w:before="0" w:after="0"/>
      <w:ind w:firstLine="0"/>
    </w:pPr>
    <w:rPr>
      <w:sz w:val="16"/>
    </w:rPr>
  </w:style>
  <w:style w:type="paragraph" w:customStyle="1" w:styleId="EspaoFigura">
    <w:name w:val="Espaço Figura"/>
    <w:basedOn w:val="TextoTabela"/>
    <w:qFormat/>
    <w:rsid w:val="0068010F"/>
    <w:pPr>
      <w:spacing w:before="120"/>
      <w:jc w:val="center"/>
    </w:pPr>
  </w:style>
  <w:style w:type="paragraph" w:customStyle="1" w:styleId="Agradecimentos">
    <w:name w:val="Agradecimentos"/>
    <w:basedOn w:val="Texto"/>
    <w:qFormat/>
    <w:rsid w:val="0068010F"/>
    <w:pPr>
      <w:pBdr>
        <w:bottom w:val="single" w:sz="4" w:space="1" w:color="4F81BD"/>
      </w:pBdr>
      <w:spacing w:before="0" w:after="0"/>
      <w:ind w:firstLine="0"/>
    </w:pPr>
  </w:style>
  <w:style w:type="paragraph" w:customStyle="1" w:styleId="m-4375482113832482297referncias">
    <w:name w:val="m_-4375482113832482297referncias"/>
    <w:basedOn w:val="Normal"/>
    <w:rsid w:val="002D6C1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5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cila\AppData\Roaming\Microsoft\Excel\swelenmio%20en%20suelo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19666769158097"/>
          <c:y val="8.5890444250024303E-2"/>
          <c:w val="0.64258358074093203"/>
          <c:h val="0.4827752639517345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8.3663566680423612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86934413293688E-3"/>
                  <c:y val="-1.7346472429041176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786934413294066E-3"/>
                  <c:y val="-5.3729847477094221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786934413293688E-3"/>
                  <c:y val="7.5369333776760918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786934413293688E-3"/>
                  <c:y val="7.5369333776760918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360803239881061E-3"/>
                  <c:y val="1.0530305298009031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573868826587377E-3"/>
                  <c:y val="3.607131013289393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55 %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786934413294447E-3"/>
                  <c:y val="-8.3663566680423056E-3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4353100508708238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786934413293688E-3"/>
                  <c:y val="-1.3416670064654477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786934413293688E-3"/>
                  <c:y val="-2.5390157745986231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Hoja6!$P$5:$Q$15</c:f>
              <c:multiLvlStrCache>
                <c:ptCount val="11"/>
                <c:lvl>
                  <c:pt idx="0">
                    <c:v>ND (100)</c:v>
                  </c:pt>
                  <c:pt idx="1">
                    <c:v>100-200</c:v>
                  </c:pt>
                  <c:pt idx="2">
                    <c:v>201-300</c:v>
                  </c:pt>
                  <c:pt idx="3">
                    <c:v>301-400</c:v>
                  </c:pt>
                  <c:pt idx="4">
                    <c:v>401-500</c:v>
                  </c:pt>
                  <c:pt idx="5">
                    <c:v>ND (24)</c:v>
                  </c:pt>
                  <c:pt idx="6">
                    <c:v>24-50</c:v>
                  </c:pt>
                  <c:pt idx="7">
                    <c:v>51-75</c:v>
                  </c:pt>
                  <c:pt idx="8">
                    <c:v>76-100</c:v>
                  </c:pt>
                  <c:pt idx="9">
                    <c:v>101-125</c:v>
                  </c:pt>
                  <c:pt idx="10">
                    <c:v>126-150</c:v>
                  </c:pt>
                </c:lvl>
                <c:lvl>
                  <c:pt idx="0">
                    <c:v>Total Selenium (µg/kg)</c:v>
                  </c:pt>
                  <c:pt idx="5">
                    <c:v>Organic Selenium fraction (µg/kg)</c:v>
                  </c:pt>
                </c:lvl>
              </c:multiLvlStrCache>
            </c:multiLvlStrRef>
          </c:cat>
          <c:val>
            <c:numRef>
              <c:f>Hoja6!$S$5:$S$15</c:f>
              <c:numCache>
                <c:formatCode>General</c:formatCode>
                <c:ptCount val="11"/>
                <c:pt idx="0">
                  <c:v>50</c:v>
                </c:pt>
                <c:pt idx="1">
                  <c:v>33.333333333333336</c:v>
                </c:pt>
                <c:pt idx="2">
                  <c:v>11.111111111111111</c:v>
                </c:pt>
                <c:pt idx="3">
                  <c:v>2.7777777777777777</c:v>
                </c:pt>
                <c:pt idx="4">
                  <c:v>2.7777777777777777</c:v>
                </c:pt>
                <c:pt idx="5">
                  <c:v>2.7777777777777777</c:v>
                </c:pt>
                <c:pt idx="6">
                  <c:v>55.555555555555557</c:v>
                </c:pt>
                <c:pt idx="7">
                  <c:v>27.777777777777779</c:v>
                </c:pt>
                <c:pt idx="8">
                  <c:v>8.3333333333333339</c:v>
                </c:pt>
                <c:pt idx="9">
                  <c:v>2.7777777777777777</c:v>
                </c:pt>
                <c:pt idx="10">
                  <c:v>2.7777777777777777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22076288"/>
        <c:axId val="232938880"/>
      </c:barChart>
      <c:catAx>
        <c:axId val="222076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2938880"/>
        <c:crosses val="autoZero"/>
        <c:auto val="1"/>
        <c:lblAlgn val="ctr"/>
        <c:lblOffset val="100"/>
        <c:noMultiLvlLbl val="0"/>
      </c:catAx>
      <c:valAx>
        <c:axId val="2329388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AR"/>
                  <a:t>% Samples</a:t>
                </a:r>
              </a:p>
            </c:rich>
          </c:tx>
          <c:layout>
            <c:manualLayout>
              <c:xMode val="edge"/>
              <c:yMode val="edge"/>
              <c:x val="2.553082650382988E-2"/>
              <c:y val="0.1660203949916096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220762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s-A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 – Inserir aqui (Arial 13 – Centralizado, negrito)</vt:lpstr>
    </vt:vector>
  </TitlesOfParts>
  <Company>Microsoft</Company>
  <LinksUpToDate>false</LinksUpToDate>
  <CharactersWithSpaces>4447</CharactersWithSpaces>
  <SharedDoc>false</SharedDoc>
  <HLinks>
    <vt:vector size="18" baseType="variant">
      <vt:variant>
        <vt:i4>1835116</vt:i4>
      </vt:variant>
      <vt:variant>
        <vt:i4>1603</vt:i4>
      </vt:variant>
      <vt:variant>
        <vt:i4>1025</vt:i4>
      </vt:variant>
      <vt:variant>
        <vt:i4>1</vt:i4>
      </vt:variant>
      <vt:variant>
        <vt:lpwstr>char_0161</vt:lpwstr>
      </vt:variant>
      <vt:variant>
        <vt:lpwstr/>
      </vt:variant>
      <vt:variant>
        <vt:i4>1769580</vt:i4>
      </vt:variant>
      <vt:variant>
        <vt:i4>1750</vt:i4>
      </vt:variant>
      <vt:variant>
        <vt:i4>1026</vt:i4>
      </vt:variant>
      <vt:variant>
        <vt:i4>1</vt:i4>
      </vt:variant>
      <vt:variant>
        <vt:lpwstr>char_011b</vt:lpwstr>
      </vt:variant>
      <vt:variant>
        <vt:lpwstr/>
      </vt:variant>
      <vt:variant>
        <vt:i4>1245200</vt:i4>
      </vt:variant>
      <vt:variant>
        <vt:i4>2071</vt:i4>
      </vt:variant>
      <vt:variant>
        <vt:i4>1027</vt:i4>
      </vt:variant>
      <vt:variant>
        <vt:i4>1</vt:i4>
      </vt:variant>
      <vt:variant>
        <vt:lpwstr>barra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 – Inserir aqui (Arial 13 – Centralizado, negrito)</dc:title>
  <dc:subject/>
  <dc:creator>user</dc:creator>
  <cp:keywords/>
  <dc:description/>
  <cp:lastModifiedBy>Lucila</cp:lastModifiedBy>
  <cp:revision>4</cp:revision>
  <dcterms:created xsi:type="dcterms:W3CDTF">2019-05-09T14:12:00Z</dcterms:created>
  <dcterms:modified xsi:type="dcterms:W3CDTF">2019-05-13T18:55:00Z</dcterms:modified>
</cp:coreProperties>
</file>